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8A" w:rsidRDefault="00B7308A" w:rsidP="00B7308A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INSTRUCTIONS FOR LOCAL HEALTH DEPARTMENT STAFF ONLY</w:t>
      </w:r>
    </w:p>
    <w:p w:rsidR="00B7308A" w:rsidRDefault="00B7308A" w:rsidP="00B7308A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Use the approved language in this standing order to create a customized standing order exclusively for your agency.</w:t>
      </w:r>
    </w:p>
    <w:p w:rsidR="00B7308A" w:rsidRDefault="00B7308A" w:rsidP="00B7308A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 xml:space="preserve">Print the customized standing order on agency letterhead. Review standing order at least annually and obtain </w:t>
      </w:r>
      <w:r w:rsidR="00A2012D">
        <w:rPr>
          <w:rFonts w:asciiTheme="minorHAnsi" w:hAnsiTheme="minorHAnsi"/>
          <w:sz w:val="14"/>
          <w:szCs w:val="16"/>
        </w:rPr>
        <w:t>M</w:t>
      </w:r>
      <w:r>
        <w:rPr>
          <w:rFonts w:asciiTheme="minorHAnsi" w:hAnsiTheme="minorHAnsi"/>
          <w:sz w:val="14"/>
          <w:szCs w:val="16"/>
        </w:rPr>
        <w:t xml:space="preserve">edical </w:t>
      </w:r>
      <w:r w:rsidR="00A2012D">
        <w:rPr>
          <w:rFonts w:asciiTheme="minorHAnsi" w:hAnsiTheme="minorHAnsi"/>
          <w:sz w:val="14"/>
          <w:szCs w:val="16"/>
        </w:rPr>
        <w:t>D</w:t>
      </w:r>
      <w:r>
        <w:rPr>
          <w:rFonts w:asciiTheme="minorHAnsi" w:hAnsiTheme="minorHAnsi"/>
          <w:sz w:val="14"/>
          <w:szCs w:val="16"/>
        </w:rPr>
        <w:t>irector’s signature.</w:t>
      </w:r>
    </w:p>
    <w:p w:rsidR="00B7308A" w:rsidRDefault="00B7308A" w:rsidP="00B7308A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Standing order must include the effective start date and the expiration date.</w:t>
      </w:r>
    </w:p>
    <w:p w:rsidR="00897A7B" w:rsidRPr="00580835" w:rsidRDefault="00897A7B" w:rsidP="00F111B1">
      <w:pPr>
        <w:ind w:hanging="360"/>
        <w:rPr>
          <w:rFonts w:ascii="Arial" w:hAnsi="Arial" w:cs="Arial"/>
          <w:b/>
          <w:sz w:val="20"/>
          <w:szCs w:val="20"/>
          <w:u w:val="single"/>
        </w:rPr>
      </w:pPr>
    </w:p>
    <w:p w:rsidR="00897A7B" w:rsidRDefault="00897A7B" w:rsidP="001353CB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Assessment</w:t>
      </w:r>
    </w:p>
    <w:p w:rsidR="00834AFE" w:rsidRPr="00580835" w:rsidRDefault="00834AFE" w:rsidP="001353CB">
      <w:pPr>
        <w:rPr>
          <w:rFonts w:ascii="Arial" w:hAnsi="Arial" w:cs="Arial"/>
          <w:b/>
          <w:sz w:val="20"/>
          <w:szCs w:val="20"/>
        </w:rPr>
      </w:pPr>
    </w:p>
    <w:p w:rsidR="009C77D4" w:rsidRDefault="00897A7B" w:rsidP="003505AC">
      <w:pPr>
        <w:rPr>
          <w:rFonts w:ascii="Arial" w:hAnsi="Arial" w:cs="Arial"/>
          <w:sz w:val="20"/>
          <w:szCs w:val="20"/>
          <w:u w:val="single"/>
        </w:rPr>
      </w:pPr>
      <w:r w:rsidRPr="00580835">
        <w:rPr>
          <w:rFonts w:ascii="Arial" w:hAnsi="Arial" w:cs="Arial"/>
          <w:sz w:val="20"/>
          <w:szCs w:val="20"/>
          <w:u w:val="single"/>
        </w:rPr>
        <w:t>Subjective Findings</w:t>
      </w:r>
      <w:r w:rsidR="00BA2CE2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631EFB" w:rsidRPr="00580835" w:rsidRDefault="00631EFB" w:rsidP="00631EFB">
      <w:pPr>
        <w:rPr>
          <w:rFonts w:ascii="Arial" w:hAnsi="Arial" w:cs="Arial"/>
          <w:sz w:val="20"/>
          <w:szCs w:val="20"/>
        </w:rPr>
      </w:pPr>
      <w:r w:rsidRPr="00B362EB">
        <w:rPr>
          <w:rFonts w:ascii="Arial" w:hAnsi="Arial" w:cs="Arial"/>
          <w:sz w:val="20"/>
          <w:szCs w:val="20"/>
        </w:rPr>
        <w:t>The following subjective criteria meet the requirement</w:t>
      </w:r>
      <w:r>
        <w:rPr>
          <w:rFonts w:ascii="Arial" w:hAnsi="Arial" w:cs="Arial"/>
          <w:sz w:val="20"/>
          <w:szCs w:val="20"/>
        </w:rPr>
        <w:t>s</w:t>
      </w:r>
      <w:r w:rsidRPr="00B362EB">
        <w:rPr>
          <w:rFonts w:ascii="Arial" w:hAnsi="Arial" w:cs="Arial"/>
          <w:sz w:val="20"/>
          <w:szCs w:val="20"/>
        </w:rPr>
        <w:t xml:space="preserve"> for a </w:t>
      </w:r>
      <w:r w:rsidRPr="00AC2DCC">
        <w:rPr>
          <w:rFonts w:ascii="Arial" w:hAnsi="Arial" w:cs="Arial"/>
          <w:sz w:val="20"/>
          <w:szCs w:val="20"/>
        </w:rPr>
        <w:t xml:space="preserve">STD ERRN or </w:t>
      </w:r>
      <w:r w:rsidRPr="00631EFB">
        <w:rPr>
          <w:rFonts w:ascii="Arial" w:hAnsi="Arial" w:cs="Arial"/>
          <w:sz w:val="20"/>
          <w:szCs w:val="20"/>
        </w:rPr>
        <w:t>RN to</w:t>
      </w:r>
      <w:r>
        <w:rPr>
          <w:rFonts w:ascii="Arial" w:hAnsi="Arial" w:cs="Arial"/>
          <w:sz w:val="20"/>
          <w:szCs w:val="20"/>
        </w:rPr>
        <w:t xml:space="preserve"> order a serology test for Syphilis (STS) </w:t>
      </w:r>
      <w:r w:rsidRPr="00B362EB">
        <w:rPr>
          <w:rFonts w:ascii="Arial" w:hAnsi="Arial" w:cs="Arial"/>
          <w:sz w:val="20"/>
          <w:szCs w:val="20"/>
        </w:rPr>
        <w:t xml:space="preserve">by standing order. </w:t>
      </w:r>
    </w:p>
    <w:p w:rsidR="00897A7B" w:rsidRDefault="00B27D6D" w:rsidP="006C62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Clients may present with the following history:</w:t>
      </w:r>
    </w:p>
    <w:tbl>
      <w:tblPr>
        <w:tblStyle w:val="TableGrid"/>
        <w:tblW w:w="910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BF172C" w:rsidTr="008B66C0">
        <w:tc>
          <w:tcPr>
            <w:tcW w:w="9108" w:type="dxa"/>
          </w:tcPr>
          <w:p w:rsidR="00BF172C" w:rsidRPr="00AE3A02" w:rsidRDefault="00BF172C" w:rsidP="00D67CD6">
            <w:pPr>
              <w:pStyle w:val="ListParagraph"/>
              <w:numPr>
                <w:ilvl w:val="0"/>
                <w:numId w:val="3"/>
              </w:numPr>
              <w:ind w:right="-50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genital, anal or oral lesion</w:t>
            </w:r>
            <w:r w:rsidR="00530184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</w:tr>
      <w:tr w:rsidR="00BF172C" w:rsidTr="008B66C0">
        <w:tc>
          <w:tcPr>
            <w:tcW w:w="9108" w:type="dxa"/>
          </w:tcPr>
          <w:p w:rsidR="00BF172C" w:rsidRPr="00AE3A02" w:rsidRDefault="00BF172C" w:rsidP="002F47E0">
            <w:pPr>
              <w:pStyle w:val="ListParagraph"/>
              <w:numPr>
                <w:ilvl w:val="0"/>
                <w:numId w:val="3"/>
              </w:numPr>
              <w:ind w:right="-50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 on trunk, palms and/or soles of feet</w:t>
            </w:r>
          </w:p>
        </w:tc>
      </w:tr>
      <w:tr w:rsidR="00BF172C" w:rsidTr="008B66C0">
        <w:tc>
          <w:tcPr>
            <w:tcW w:w="9108" w:type="dxa"/>
          </w:tcPr>
          <w:p w:rsidR="00BF172C" w:rsidRDefault="00BF172C" w:rsidP="00DD27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alopecia  </w:t>
            </w:r>
          </w:p>
          <w:p w:rsidR="00BF172C" w:rsidRDefault="00BF172C" w:rsidP="00DD27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to </w:t>
            </w:r>
            <w:r w:rsidR="0053018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yphilis or partner with symptoms</w:t>
            </w:r>
          </w:p>
          <w:p w:rsidR="00BF172C" w:rsidRDefault="00BF172C" w:rsidP="00DD27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E3A02">
              <w:rPr>
                <w:rFonts w:ascii="Arial" w:hAnsi="Arial" w:cs="Arial"/>
                <w:sz w:val="20"/>
                <w:szCs w:val="20"/>
              </w:rPr>
              <w:t>symptomatic</w:t>
            </w:r>
          </w:p>
          <w:p w:rsidR="00BF172C" w:rsidRDefault="00BF172C" w:rsidP="00D67CD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Blood Bank sent him/her, a letter saying positive test for syphilis</w:t>
            </w:r>
          </w:p>
          <w:p w:rsidR="00BF172C" w:rsidRPr="00D67CD6" w:rsidRDefault="00BF172C" w:rsidP="00D67CD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725D" w:rsidRPr="00580835" w:rsidRDefault="0093725D" w:rsidP="00F111B1">
      <w:pPr>
        <w:ind w:hanging="360"/>
        <w:rPr>
          <w:rFonts w:ascii="Arial" w:hAnsi="Arial" w:cs="Arial"/>
          <w:sz w:val="20"/>
          <w:szCs w:val="20"/>
        </w:rPr>
      </w:pPr>
    </w:p>
    <w:p w:rsidR="009C77D4" w:rsidRPr="00580835" w:rsidRDefault="00F90E68" w:rsidP="003505AC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sz w:val="20"/>
          <w:szCs w:val="20"/>
          <w:u w:val="single"/>
        </w:rPr>
        <w:t>Objective Findings</w:t>
      </w:r>
      <w:r w:rsidR="002F0A10" w:rsidRPr="00580835">
        <w:rPr>
          <w:rFonts w:ascii="Arial" w:hAnsi="Arial" w:cs="Arial"/>
          <w:b/>
          <w:sz w:val="20"/>
          <w:szCs w:val="20"/>
        </w:rPr>
        <w:t xml:space="preserve"> </w:t>
      </w:r>
    </w:p>
    <w:p w:rsidR="00FE3236" w:rsidRPr="00580835" w:rsidRDefault="00CF6563" w:rsidP="00FE32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r w:rsidR="00C20E6B">
        <w:rPr>
          <w:rFonts w:ascii="Arial" w:hAnsi="Arial" w:cs="Arial"/>
          <w:sz w:val="20"/>
          <w:szCs w:val="20"/>
        </w:rPr>
        <w:t>the follow</w:t>
      </w:r>
      <w:r w:rsidR="004E4837">
        <w:rPr>
          <w:rFonts w:ascii="Arial" w:hAnsi="Arial" w:cs="Arial"/>
          <w:sz w:val="20"/>
          <w:szCs w:val="20"/>
        </w:rPr>
        <w:t>ing is seen on exam</w:t>
      </w:r>
      <w:r w:rsidR="00B65C14">
        <w:rPr>
          <w:rFonts w:ascii="Arial" w:hAnsi="Arial" w:cs="Arial"/>
          <w:sz w:val="20"/>
          <w:szCs w:val="20"/>
        </w:rPr>
        <w:t>ination,</w:t>
      </w:r>
      <w:r w:rsidR="004E48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CA2C1E">
        <w:rPr>
          <w:rFonts w:ascii="Arial" w:hAnsi="Arial" w:cs="Arial"/>
          <w:sz w:val="20"/>
          <w:szCs w:val="20"/>
        </w:rPr>
        <w:t xml:space="preserve"> </w:t>
      </w:r>
      <w:r w:rsidR="00FE3236" w:rsidRPr="00580835">
        <w:rPr>
          <w:rFonts w:ascii="Arial" w:hAnsi="Arial" w:cs="Arial"/>
          <w:sz w:val="20"/>
          <w:szCs w:val="20"/>
        </w:rPr>
        <w:t>STD ERRN</w:t>
      </w:r>
      <w:r w:rsidR="000F79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shall </w:t>
      </w:r>
      <w:r w:rsidR="00E86069">
        <w:rPr>
          <w:rFonts w:ascii="Arial" w:hAnsi="Arial" w:cs="Arial"/>
          <w:sz w:val="20"/>
          <w:szCs w:val="20"/>
        </w:rPr>
        <w:t xml:space="preserve">collect </w:t>
      </w:r>
      <w:r w:rsidR="00C20E6B">
        <w:rPr>
          <w:rFonts w:ascii="Arial" w:hAnsi="Arial" w:cs="Arial"/>
          <w:sz w:val="20"/>
          <w:szCs w:val="20"/>
        </w:rPr>
        <w:t>all available syphilis testing</w:t>
      </w:r>
      <w:r w:rsidR="004E4837">
        <w:rPr>
          <w:rFonts w:ascii="Arial" w:hAnsi="Arial" w:cs="Arial"/>
          <w:sz w:val="20"/>
          <w:szCs w:val="20"/>
        </w:rPr>
        <w:t xml:space="preserve"> (</w:t>
      </w:r>
      <w:r w:rsidR="000734FD">
        <w:rPr>
          <w:rFonts w:ascii="Arial" w:hAnsi="Arial" w:cs="Arial"/>
          <w:sz w:val="20"/>
          <w:szCs w:val="20"/>
        </w:rPr>
        <w:t xml:space="preserve">STAT </w:t>
      </w:r>
      <w:proofErr w:type="spellStart"/>
      <w:r w:rsidR="000734FD">
        <w:rPr>
          <w:rFonts w:ascii="Arial" w:hAnsi="Arial" w:cs="Arial"/>
          <w:sz w:val="20"/>
          <w:szCs w:val="20"/>
        </w:rPr>
        <w:t>RPR</w:t>
      </w:r>
      <w:proofErr w:type="spellEnd"/>
      <w:r w:rsidR="000734FD">
        <w:rPr>
          <w:rFonts w:ascii="Arial" w:hAnsi="Arial" w:cs="Arial"/>
          <w:sz w:val="20"/>
          <w:szCs w:val="20"/>
        </w:rPr>
        <w:t xml:space="preserve">, </w:t>
      </w:r>
      <w:r w:rsidR="0044340E">
        <w:rPr>
          <w:rFonts w:ascii="Arial" w:hAnsi="Arial" w:cs="Arial"/>
          <w:sz w:val="20"/>
          <w:szCs w:val="20"/>
        </w:rPr>
        <w:t xml:space="preserve">or </w:t>
      </w:r>
      <w:proofErr w:type="spellStart"/>
      <w:r w:rsidR="000734FD">
        <w:rPr>
          <w:rFonts w:ascii="Arial" w:hAnsi="Arial" w:cs="Arial"/>
          <w:sz w:val="20"/>
          <w:szCs w:val="20"/>
        </w:rPr>
        <w:t>Darkfield</w:t>
      </w:r>
      <w:proofErr w:type="spellEnd"/>
      <w:r w:rsidR="000734FD">
        <w:rPr>
          <w:rFonts w:ascii="Arial" w:hAnsi="Arial" w:cs="Arial"/>
          <w:sz w:val="20"/>
          <w:szCs w:val="20"/>
        </w:rPr>
        <w:t xml:space="preserve"> (DF)</w:t>
      </w:r>
      <w:r w:rsidR="004E4837">
        <w:rPr>
          <w:rFonts w:ascii="Arial" w:hAnsi="Arial" w:cs="Arial"/>
          <w:sz w:val="20"/>
          <w:szCs w:val="20"/>
        </w:rPr>
        <w:t xml:space="preserve"> and</w:t>
      </w:r>
      <w:r w:rsidR="00FE1568">
        <w:rPr>
          <w:rFonts w:ascii="Arial" w:hAnsi="Arial" w:cs="Arial"/>
          <w:sz w:val="20"/>
          <w:szCs w:val="20"/>
        </w:rPr>
        <w:t xml:space="preserve">/or </w:t>
      </w:r>
      <w:r w:rsidR="0044340E">
        <w:rPr>
          <w:rFonts w:ascii="Arial" w:hAnsi="Arial" w:cs="Arial"/>
          <w:sz w:val="20"/>
          <w:szCs w:val="20"/>
        </w:rPr>
        <w:t>serology test for Syphilis (STS)</w:t>
      </w:r>
      <w:r w:rsidR="00C20E6B">
        <w:rPr>
          <w:rFonts w:ascii="Arial" w:hAnsi="Arial" w:cs="Arial"/>
          <w:sz w:val="20"/>
          <w:szCs w:val="20"/>
        </w:rPr>
        <w:t xml:space="preserve"> </w:t>
      </w:r>
      <w:r w:rsidR="00B65C14">
        <w:rPr>
          <w:rFonts w:ascii="Arial" w:hAnsi="Arial" w:cs="Arial"/>
          <w:sz w:val="20"/>
          <w:szCs w:val="20"/>
        </w:rPr>
        <w:t>that the local</w:t>
      </w:r>
      <w:r w:rsidR="00C20E6B">
        <w:rPr>
          <w:rFonts w:ascii="Arial" w:hAnsi="Arial" w:cs="Arial"/>
          <w:sz w:val="20"/>
          <w:szCs w:val="20"/>
        </w:rPr>
        <w:t xml:space="preserve"> health department offers </w:t>
      </w:r>
      <w:r w:rsidR="00CA2C1E">
        <w:rPr>
          <w:rFonts w:ascii="Arial" w:hAnsi="Arial" w:cs="Arial"/>
          <w:sz w:val="20"/>
          <w:szCs w:val="20"/>
        </w:rPr>
        <w:t>by standing order:</w:t>
      </w:r>
    </w:p>
    <w:p w:rsidR="004E4837" w:rsidRDefault="00B65C14" w:rsidP="001520E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C20E6B" w:rsidRPr="004E4837">
        <w:rPr>
          <w:rFonts w:ascii="Arial" w:hAnsi="Arial" w:cs="Arial"/>
          <w:sz w:val="20"/>
          <w:szCs w:val="20"/>
        </w:rPr>
        <w:t>enital, anal or oral ulc</w:t>
      </w:r>
      <w:r w:rsidR="00302D9D">
        <w:rPr>
          <w:rFonts w:ascii="Arial" w:hAnsi="Arial" w:cs="Arial"/>
          <w:sz w:val="20"/>
          <w:szCs w:val="20"/>
        </w:rPr>
        <w:t>erated lesion</w:t>
      </w:r>
      <w:r w:rsidR="0062489E">
        <w:rPr>
          <w:rFonts w:ascii="Arial" w:hAnsi="Arial" w:cs="Arial"/>
          <w:sz w:val="20"/>
          <w:szCs w:val="20"/>
        </w:rPr>
        <w:t>(s)</w:t>
      </w:r>
      <w:r w:rsidR="00302D9D">
        <w:rPr>
          <w:rFonts w:ascii="Arial" w:hAnsi="Arial" w:cs="Arial"/>
          <w:sz w:val="20"/>
          <w:szCs w:val="20"/>
        </w:rPr>
        <w:t xml:space="preserve"> </w:t>
      </w:r>
    </w:p>
    <w:p w:rsidR="004E4837" w:rsidRPr="008B66C0" w:rsidRDefault="004E4837" w:rsidP="008B66C0">
      <w:pPr>
        <w:rPr>
          <w:rFonts w:ascii="Arial" w:hAnsi="Arial" w:cs="Arial"/>
          <w:sz w:val="20"/>
          <w:szCs w:val="20"/>
        </w:rPr>
      </w:pPr>
      <w:r w:rsidRPr="008B66C0">
        <w:rPr>
          <w:rFonts w:ascii="Arial" w:hAnsi="Arial" w:cs="Arial"/>
          <w:sz w:val="20"/>
          <w:szCs w:val="20"/>
        </w:rPr>
        <w:t xml:space="preserve">If either of the following </w:t>
      </w:r>
      <w:proofErr w:type="gramStart"/>
      <w:r w:rsidRPr="008B66C0">
        <w:rPr>
          <w:rFonts w:ascii="Arial" w:hAnsi="Arial" w:cs="Arial"/>
          <w:sz w:val="20"/>
          <w:szCs w:val="20"/>
        </w:rPr>
        <w:t>are</w:t>
      </w:r>
      <w:proofErr w:type="gramEnd"/>
      <w:r w:rsidRPr="008B66C0">
        <w:rPr>
          <w:rFonts w:ascii="Arial" w:hAnsi="Arial" w:cs="Arial"/>
          <w:sz w:val="20"/>
          <w:szCs w:val="20"/>
        </w:rPr>
        <w:t xml:space="preserve"> seen on exam</w:t>
      </w:r>
      <w:r w:rsidR="00B65C14" w:rsidRPr="008B66C0">
        <w:rPr>
          <w:rFonts w:ascii="Arial" w:hAnsi="Arial" w:cs="Arial"/>
          <w:sz w:val="20"/>
          <w:szCs w:val="20"/>
        </w:rPr>
        <w:t xml:space="preserve">ination, </w:t>
      </w:r>
      <w:r w:rsidRPr="008B66C0">
        <w:rPr>
          <w:rFonts w:ascii="Arial" w:hAnsi="Arial" w:cs="Arial"/>
          <w:sz w:val="20"/>
          <w:szCs w:val="20"/>
        </w:rPr>
        <w:t xml:space="preserve">the STD ERRN shall collect all available syphilis </w:t>
      </w:r>
      <w:r w:rsidR="00302D9D" w:rsidRPr="008B66C0">
        <w:rPr>
          <w:rFonts w:ascii="Arial" w:hAnsi="Arial" w:cs="Arial"/>
          <w:sz w:val="20"/>
          <w:szCs w:val="20"/>
        </w:rPr>
        <w:t xml:space="preserve">serology </w:t>
      </w:r>
      <w:r w:rsidRPr="008B66C0">
        <w:rPr>
          <w:rFonts w:ascii="Arial" w:hAnsi="Arial" w:cs="Arial"/>
          <w:sz w:val="20"/>
          <w:szCs w:val="20"/>
        </w:rPr>
        <w:t>testing (</w:t>
      </w:r>
      <w:r w:rsidR="000734FD" w:rsidRPr="008B66C0">
        <w:rPr>
          <w:rFonts w:ascii="Arial" w:hAnsi="Arial" w:cs="Arial"/>
          <w:sz w:val="20"/>
          <w:szCs w:val="20"/>
        </w:rPr>
        <w:t>STAT</w:t>
      </w:r>
      <w:r w:rsidRPr="008B66C0">
        <w:rPr>
          <w:rFonts w:ascii="Arial" w:hAnsi="Arial" w:cs="Arial"/>
          <w:sz w:val="20"/>
          <w:szCs w:val="20"/>
        </w:rPr>
        <w:t xml:space="preserve"> RPR and</w:t>
      </w:r>
      <w:r w:rsidR="00302D9D" w:rsidRPr="008B66C0">
        <w:rPr>
          <w:rFonts w:ascii="Arial" w:hAnsi="Arial" w:cs="Arial"/>
          <w:sz w:val="20"/>
          <w:szCs w:val="20"/>
        </w:rPr>
        <w:t>/or</w:t>
      </w:r>
      <w:r w:rsidRPr="008B66C0">
        <w:rPr>
          <w:rFonts w:ascii="Arial" w:hAnsi="Arial" w:cs="Arial"/>
          <w:sz w:val="20"/>
          <w:szCs w:val="20"/>
        </w:rPr>
        <w:t xml:space="preserve"> </w:t>
      </w:r>
      <w:r w:rsidR="00245DD6" w:rsidRPr="008B66C0">
        <w:rPr>
          <w:rFonts w:ascii="Arial" w:hAnsi="Arial" w:cs="Arial"/>
          <w:sz w:val="20"/>
          <w:szCs w:val="20"/>
        </w:rPr>
        <w:t>STS</w:t>
      </w:r>
      <w:r w:rsidRPr="008B66C0">
        <w:rPr>
          <w:rFonts w:ascii="Arial" w:hAnsi="Arial" w:cs="Arial"/>
          <w:sz w:val="20"/>
          <w:szCs w:val="20"/>
        </w:rPr>
        <w:t xml:space="preserve">) </w:t>
      </w:r>
      <w:r w:rsidR="00FC2B68" w:rsidRPr="008B66C0">
        <w:rPr>
          <w:rFonts w:ascii="Arial" w:hAnsi="Arial" w:cs="Arial"/>
          <w:sz w:val="20"/>
          <w:szCs w:val="20"/>
        </w:rPr>
        <w:t>that the local</w:t>
      </w:r>
      <w:r w:rsidR="00FC2B68" w:rsidRPr="008B66C0" w:rsidDel="00FC2B68">
        <w:rPr>
          <w:rFonts w:ascii="Arial" w:hAnsi="Arial" w:cs="Arial"/>
          <w:sz w:val="20"/>
          <w:szCs w:val="20"/>
        </w:rPr>
        <w:t xml:space="preserve"> </w:t>
      </w:r>
      <w:r w:rsidRPr="008B66C0">
        <w:rPr>
          <w:rFonts w:ascii="Arial" w:hAnsi="Arial" w:cs="Arial"/>
          <w:sz w:val="20"/>
          <w:szCs w:val="20"/>
        </w:rPr>
        <w:t>health department offers by standing orders:</w:t>
      </w:r>
    </w:p>
    <w:p w:rsidR="00C20E6B" w:rsidRPr="004E4837" w:rsidRDefault="00FC2B68" w:rsidP="001520E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1520E2" w:rsidRPr="004E4837">
        <w:rPr>
          <w:rFonts w:ascii="Arial" w:hAnsi="Arial" w:cs="Arial"/>
          <w:sz w:val="20"/>
          <w:szCs w:val="20"/>
        </w:rPr>
        <w:t xml:space="preserve">runk, palm </w:t>
      </w:r>
      <w:r w:rsidR="00C20E6B" w:rsidRPr="004E4837">
        <w:rPr>
          <w:rFonts w:ascii="Arial" w:hAnsi="Arial" w:cs="Arial"/>
          <w:sz w:val="20"/>
          <w:szCs w:val="20"/>
        </w:rPr>
        <w:t>or plantar</w:t>
      </w:r>
      <w:r w:rsidR="001520E2" w:rsidRPr="004E4837">
        <w:rPr>
          <w:rFonts w:ascii="Arial" w:hAnsi="Arial" w:cs="Arial"/>
          <w:sz w:val="20"/>
          <w:szCs w:val="20"/>
        </w:rPr>
        <w:t xml:space="preserve"> rash</w:t>
      </w:r>
    </w:p>
    <w:p w:rsidR="001520E2" w:rsidRDefault="00FC2B68" w:rsidP="001520E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520E2" w:rsidRPr="001520E2">
        <w:rPr>
          <w:rFonts w:ascii="Arial" w:hAnsi="Arial" w:cs="Arial"/>
          <w:sz w:val="20"/>
          <w:szCs w:val="20"/>
        </w:rPr>
        <w:t>lopecia of hair or eye brows</w:t>
      </w:r>
    </w:p>
    <w:p w:rsidR="00245DD6" w:rsidRDefault="00245DD6" w:rsidP="001520E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complaint of visual changes </w:t>
      </w:r>
    </w:p>
    <w:p w:rsidR="00302D9D" w:rsidRPr="00702EA6" w:rsidRDefault="004E4837" w:rsidP="00EE141E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702EA6">
        <w:rPr>
          <w:rFonts w:ascii="Arial" w:hAnsi="Arial" w:cs="Arial"/>
          <w:sz w:val="20"/>
          <w:szCs w:val="20"/>
        </w:rPr>
        <w:t xml:space="preserve">If either of the following </w:t>
      </w:r>
      <w:proofErr w:type="gramStart"/>
      <w:r w:rsidRPr="00702EA6">
        <w:rPr>
          <w:rFonts w:ascii="Arial" w:hAnsi="Arial" w:cs="Arial"/>
          <w:sz w:val="20"/>
          <w:szCs w:val="20"/>
        </w:rPr>
        <w:t>apply</w:t>
      </w:r>
      <w:proofErr w:type="gramEnd"/>
      <w:r w:rsidRPr="00702EA6">
        <w:rPr>
          <w:rFonts w:ascii="Arial" w:hAnsi="Arial" w:cs="Arial"/>
          <w:sz w:val="20"/>
          <w:szCs w:val="20"/>
        </w:rPr>
        <w:t xml:space="preserve"> to the</w:t>
      </w:r>
      <w:r w:rsidR="00302D9D" w:rsidRPr="00702EA6">
        <w:rPr>
          <w:rFonts w:ascii="Arial" w:hAnsi="Arial" w:cs="Arial"/>
          <w:sz w:val="20"/>
          <w:szCs w:val="20"/>
        </w:rPr>
        <w:t xml:space="preserve"> STD </w:t>
      </w:r>
      <w:r w:rsidRPr="00702EA6">
        <w:rPr>
          <w:rFonts w:ascii="Arial" w:hAnsi="Arial" w:cs="Arial"/>
          <w:sz w:val="20"/>
          <w:szCs w:val="20"/>
        </w:rPr>
        <w:t>client’s presenting history</w:t>
      </w:r>
      <w:r w:rsidR="008D7315" w:rsidRPr="00702EA6">
        <w:rPr>
          <w:rFonts w:ascii="Arial" w:hAnsi="Arial" w:cs="Arial"/>
          <w:sz w:val="20"/>
          <w:szCs w:val="20"/>
        </w:rPr>
        <w:t>,</w:t>
      </w:r>
      <w:r w:rsidRPr="00702EA6">
        <w:rPr>
          <w:rFonts w:ascii="Arial" w:hAnsi="Arial" w:cs="Arial"/>
          <w:sz w:val="20"/>
          <w:szCs w:val="20"/>
        </w:rPr>
        <w:t xml:space="preserve"> the STD ERRN shall order a </w:t>
      </w:r>
      <w:r w:rsidR="00702EA6" w:rsidRPr="008B66C0">
        <w:rPr>
          <w:rFonts w:ascii="Arial" w:hAnsi="Arial" w:cs="Arial"/>
          <w:sz w:val="20"/>
          <w:szCs w:val="20"/>
        </w:rPr>
        <w:t>STS</w:t>
      </w:r>
      <w:r w:rsidR="00702EA6" w:rsidRPr="00702EA6">
        <w:rPr>
          <w:rFonts w:ascii="Arial" w:hAnsi="Arial" w:cs="Arial"/>
          <w:sz w:val="20"/>
          <w:szCs w:val="20"/>
        </w:rPr>
        <w:t xml:space="preserve"> </w:t>
      </w:r>
      <w:r w:rsidR="00302D9D" w:rsidRPr="00702EA6">
        <w:rPr>
          <w:rFonts w:ascii="Arial" w:hAnsi="Arial" w:cs="Arial"/>
          <w:sz w:val="20"/>
          <w:szCs w:val="20"/>
        </w:rPr>
        <w:t>with or without a TREP-SURE based on table 1 below:</w:t>
      </w:r>
    </w:p>
    <w:p w:rsidR="001520E2" w:rsidRPr="001520E2" w:rsidRDefault="00EE141E" w:rsidP="00EE141E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4.    </w:t>
      </w:r>
      <w:proofErr w:type="gramStart"/>
      <w:r w:rsidR="008D731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eferral</w:t>
      </w:r>
      <w:proofErr w:type="gramEnd"/>
      <w:r>
        <w:rPr>
          <w:rFonts w:ascii="Arial" w:hAnsi="Arial" w:cs="Arial"/>
          <w:sz w:val="20"/>
          <w:szCs w:val="20"/>
        </w:rPr>
        <w:t xml:space="preserve"> by DIS,</w:t>
      </w:r>
      <w:r w:rsidR="001520E2" w:rsidRPr="001520E2">
        <w:rPr>
          <w:rFonts w:ascii="Arial" w:hAnsi="Arial" w:cs="Arial"/>
          <w:sz w:val="20"/>
          <w:szCs w:val="20"/>
        </w:rPr>
        <w:t xml:space="preserve"> other medical provider</w:t>
      </w:r>
      <w:r>
        <w:rPr>
          <w:rFonts w:ascii="Arial" w:hAnsi="Arial" w:cs="Arial"/>
          <w:sz w:val="20"/>
          <w:szCs w:val="20"/>
        </w:rPr>
        <w:t xml:space="preserve"> or verified sexual partner</w:t>
      </w:r>
    </w:p>
    <w:p w:rsidR="001520E2" w:rsidRPr="00EE141E" w:rsidRDefault="00EE141E" w:rsidP="00EE141E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 </w:t>
      </w:r>
      <w:proofErr w:type="gramStart"/>
      <w:r w:rsidR="008D7315">
        <w:rPr>
          <w:rFonts w:ascii="Arial" w:hAnsi="Arial" w:cs="Arial"/>
          <w:sz w:val="20"/>
          <w:szCs w:val="20"/>
        </w:rPr>
        <w:t>r</w:t>
      </w:r>
      <w:r w:rsidRPr="00EE141E">
        <w:rPr>
          <w:rFonts w:ascii="Arial" w:hAnsi="Arial" w:cs="Arial"/>
          <w:sz w:val="20"/>
          <w:szCs w:val="20"/>
        </w:rPr>
        <w:t>eferral</w:t>
      </w:r>
      <w:proofErr w:type="gramEnd"/>
      <w:r w:rsidRPr="00EE141E">
        <w:rPr>
          <w:rFonts w:ascii="Arial" w:hAnsi="Arial" w:cs="Arial"/>
          <w:sz w:val="20"/>
          <w:szCs w:val="20"/>
        </w:rPr>
        <w:t xml:space="preserve"> or</w:t>
      </w:r>
      <w:r w:rsidR="00B27D6D" w:rsidRPr="00EE141E">
        <w:rPr>
          <w:rFonts w:ascii="Arial" w:hAnsi="Arial" w:cs="Arial"/>
          <w:sz w:val="20"/>
          <w:szCs w:val="20"/>
        </w:rPr>
        <w:t xml:space="preserve"> client letter </w:t>
      </w:r>
      <w:r w:rsidR="001520E2" w:rsidRPr="00EE141E">
        <w:rPr>
          <w:rFonts w:ascii="Arial" w:hAnsi="Arial" w:cs="Arial"/>
          <w:sz w:val="20"/>
          <w:szCs w:val="20"/>
        </w:rPr>
        <w:t>from local blood banks</w:t>
      </w:r>
      <w:r w:rsidR="00B27D6D" w:rsidRPr="00EE141E">
        <w:rPr>
          <w:rFonts w:ascii="Arial" w:hAnsi="Arial" w:cs="Arial"/>
          <w:sz w:val="20"/>
          <w:szCs w:val="20"/>
        </w:rPr>
        <w:t xml:space="preserve"> regarding positive syphilis screening test</w:t>
      </w:r>
    </w:p>
    <w:p w:rsidR="001520E2" w:rsidRPr="00EE141E" w:rsidRDefault="00EE141E" w:rsidP="00EE141E">
      <w:pPr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   </w:t>
      </w:r>
      <w:proofErr w:type="gramStart"/>
      <w:r w:rsidR="00A11DAB">
        <w:rPr>
          <w:rFonts w:ascii="Arial" w:hAnsi="Arial" w:cs="Arial"/>
          <w:sz w:val="20"/>
          <w:szCs w:val="20"/>
        </w:rPr>
        <w:t>c</w:t>
      </w:r>
      <w:r w:rsidR="001520E2" w:rsidRPr="00EE141E">
        <w:rPr>
          <w:rFonts w:ascii="Arial" w:hAnsi="Arial" w:cs="Arial"/>
          <w:sz w:val="20"/>
          <w:szCs w:val="20"/>
        </w:rPr>
        <w:t>lient</w:t>
      </w:r>
      <w:proofErr w:type="gramEnd"/>
      <w:r w:rsidR="001520E2" w:rsidRPr="00EE141E">
        <w:rPr>
          <w:rFonts w:ascii="Arial" w:hAnsi="Arial" w:cs="Arial"/>
          <w:sz w:val="20"/>
          <w:szCs w:val="20"/>
        </w:rPr>
        <w:t xml:space="preserve"> requesting asymptomatic STD screen who has not had a syphilis serology in the last </w:t>
      </w:r>
      <w:r>
        <w:rPr>
          <w:rFonts w:ascii="Arial" w:hAnsi="Arial" w:cs="Arial"/>
          <w:sz w:val="20"/>
          <w:szCs w:val="20"/>
        </w:rPr>
        <w:t xml:space="preserve">   </w:t>
      </w:r>
      <w:r w:rsidR="001520E2" w:rsidRPr="00EE141E">
        <w:rPr>
          <w:rFonts w:ascii="Arial" w:hAnsi="Arial" w:cs="Arial"/>
          <w:sz w:val="20"/>
          <w:szCs w:val="20"/>
        </w:rPr>
        <w:t>30 days</w:t>
      </w:r>
    </w:p>
    <w:p w:rsidR="00A11DAB" w:rsidRDefault="00A11DAB" w:rsidP="001353CB">
      <w:pPr>
        <w:rPr>
          <w:rFonts w:ascii="Arial" w:hAnsi="Arial" w:cs="Arial"/>
          <w:b/>
          <w:sz w:val="20"/>
          <w:szCs w:val="20"/>
        </w:rPr>
      </w:pPr>
    </w:p>
    <w:p w:rsidR="00A60802" w:rsidRDefault="00F111B1" w:rsidP="001353CB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Plan of Care</w:t>
      </w:r>
    </w:p>
    <w:p w:rsidR="00F111B1" w:rsidRDefault="00F111B1" w:rsidP="00571DC6">
      <w:pPr>
        <w:keepLines/>
        <w:rPr>
          <w:rFonts w:ascii="Arial" w:hAnsi="Arial" w:cs="Arial"/>
          <w:sz w:val="20"/>
          <w:szCs w:val="20"/>
          <w:u w:val="single"/>
        </w:rPr>
      </w:pPr>
      <w:r w:rsidRPr="00580835">
        <w:rPr>
          <w:rFonts w:ascii="Arial" w:hAnsi="Arial" w:cs="Arial"/>
          <w:sz w:val="20"/>
          <w:szCs w:val="20"/>
          <w:u w:val="single"/>
        </w:rPr>
        <w:t>Implementation</w:t>
      </w:r>
    </w:p>
    <w:p w:rsidR="00F111B1" w:rsidRPr="00580835" w:rsidRDefault="00F111B1" w:rsidP="000B20AA">
      <w:pPr>
        <w:keepLines/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 xml:space="preserve">A registered </w:t>
      </w:r>
      <w:r w:rsidR="000B20AA" w:rsidRPr="00580835">
        <w:rPr>
          <w:rFonts w:ascii="Arial" w:hAnsi="Arial" w:cs="Arial"/>
          <w:sz w:val="20"/>
          <w:szCs w:val="20"/>
        </w:rPr>
        <w:t>nurse or STD ERRN employed</w:t>
      </w:r>
      <w:r w:rsidRPr="00580835">
        <w:rPr>
          <w:rFonts w:ascii="Arial" w:hAnsi="Arial" w:cs="Arial"/>
          <w:sz w:val="20"/>
          <w:szCs w:val="20"/>
        </w:rPr>
        <w:t xml:space="preserve"> or contracted by</w:t>
      </w:r>
      <w:r w:rsidR="00A11DAB">
        <w:rPr>
          <w:rFonts w:ascii="Arial" w:hAnsi="Arial" w:cs="Arial"/>
          <w:sz w:val="20"/>
          <w:szCs w:val="20"/>
        </w:rPr>
        <w:t xml:space="preserve"> the </w:t>
      </w:r>
      <w:r w:rsidRPr="00580835">
        <w:rPr>
          <w:rFonts w:ascii="Arial" w:hAnsi="Arial" w:cs="Arial"/>
          <w:sz w:val="20"/>
          <w:szCs w:val="20"/>
        </w:rPr>
        <w:t xml:space="preserve">local health department may </w:t>
      </w:r>
      <w:r w:rsidR="00B27D6D">
        <w:rPr>
          <w:rFonts w:ascii="Arial" w:hAnsi="Arial" w:cs="Arial"/>
          <w:sz w:val="20"/>
          <w:szCs w:val="20"/>
        </w:rPr>
        <w:t>order all available syphilis test</w:t>
      </w:r>
      <w:r w:rsidR="003471B3">
        <w:rPr>
          <w:rFonts w:ascii="Arial" w:hAnsi="Arial" w:cs="Arial"/>
          <w:sz w:val="20"/>
          <w:szCs w:val="20"/>
        </w:rPr>
        <w:t>s</w:t>
      </w:r>
      <w:r w:rsidR="00B27D6D">
        <w:rPr>
          <w:rFonts w:ascii="Arial" w:hAnsi="Arial" w:cs="Arial"/>
          <w:sz w:val="20"/>
          <w:szCs w:val="20"/>
        </w:rPr>
        <w:t xml:space="preserve"> offer</w:t>
      </w:r>
      <w:r w:rsidR="003471B3">
        <w:rPr>
          <w:rFonts w:ascii="Arial" w:hAnsi="Arial" w:cs="Arial"/>
          <w:sz w:val="20"/>
          <w:szCs w:val="20"/>
        </w:rPr>
        <w:t xml:space="preserve">ed </w:t>
      </w:r>
      <w:r w:rsidR="00B27D6D">
        <w:rPr>
          <w:rFonts w:ascii="Arial" w:hAnsi="Arial" w:cs="Arial"/>
          <w:sz w:val="20"/>
          <w:szCs w:val="20"/>
        </w:rPr>
        <w:t xml:space="preserve">including </w:t>
      </w:r>
      <w:proofErr w:type="spellStart"/>
      <w:r w:rsidR="00DF3F29">
        <w:rPr>
          <w:rFonts w:ascii="Arial" w:hAnsi="Arial" w:cs="Arial"/>
          <w:sz w:val="20"/>
          <w:szCs w:val="20"/>
        </w:rPr>
        <w:t>serologies</w:t>
      </w:r>
      <w:proofErr w:type="spellEnd"/>
      <w:r w:rsidR="00B27D6D">
        <w:rPr>
          <w:rFonts w:ascii="Arial" w:hAnsi="Arial" w:cs="Arial"/>
          <w:sz w:val="20"/>
          <w:szCs w:val="20"/>
        </w:rPr>
        <w:t xml:space="preserve"> and specimen</w:t>
      </w:r>
      <w:r w:rsidR="000B20AA" w:rsidRPr="00580835">
        <w:rPr>
          <w:rFonts w:ascii="Arial" w:hAnsi="Arial" w:cs="Arial"/>
          <w:sz w:val="20"/>
          <w:szCs w:val="20"/>
        </w:rPr>
        <w:t xml:space="preserve"> collected by the STD ERRN or other </w:t>
      </w:r>
      <w:r w:rsidR="003471B3">
        <w:rPr>
          <w:rFonts w:ascii="Arial" w:hAnsi="Arial" w:cs="Arial"/>
          <w:sz w:val="20"/>
          <w:szCs w:val="20"/>
        </w:rPr>
        <w:t>m</w:t>
      </w:r>
      <w:r w:rsidR="000B20AA" w:rsidRPr="00580835">
        <w:rPr>
          <w:rFonts w:ascii="Arial" w:hAnsi="Arial" w:cs="Arial"/>
          <w:sz w:val="20"/>
          <w:szCs w:val="20"/>
        </w:rPr>
        <w:t xml:space="preserve">edical </w:t>
      </w:r>
      <w:r w:rsidR="003471B3">
        <w:rPr>
          <w:rFonts w:ascii="Arial" w:hAnsi="Arial" w:cs="Arial"/>
          <w:sz w:val="20"/>
          <w:szCs w:val="20"/>
        </w:rPr>
        <w:t>p</w:t>
      </w:r>
      <w:r w:rsidR="000B20AA" w:rsidRPr="00580835">
        <w:rPr>
          <w:rFonts w:ascii="Arial" w:hAnsi="Arial" w:cs="Arial"/>
          <w:sz w:val="20"/>
          <w:szCs w:val="20"/>
        </w:rPr>
        <w:t>rovider.</w:t>
      </w:r>
    </w:p>
    <w:p w:rsidR="000B20AA" w:rsidRPr="00580835" w:rsidRDefault="000B20AA" w:rsidP="000B20AA">
      <w:pPr>
        <w:keepLines/>
        <w:ind w:left="360" w:hanging="360"/>
        <w:rPr>
          <w:rFonts w:ascii="Arial" w:hAnsi="Arial" w:cs="Arial"/>
          <w:i/>
          <w:sz w:val="20"/>
          <w:szCs w:val="20"/>
        </w:rPr>
      </w:pPr>
    </w:p>
    <w:p w:rsidR="00F111B1" w:rsidRPr="00580835" w:rsidRDefault="004D2FB8" w:rsidP="00062B2B">
      <w:pPr>
        <w:ind w:left="-360" w:firstLine="360"/>
        <w:rPr>
          <w:rFonts w:ascii="Arial" w:hAnsi="Arial" w:cs="Arial"/>
          <w:sz w:val="20"/>
          <w:szCs w:val="20"/>
          <w:u w:val="single"/>
        </w:rPr>
      </w:pPr>
      <w:r w:rsidRPr="00580835">
        <w:rPr>
          <w:rFonts w:ascii="Arial" w:hAnsi="Arial" w:cs="Arial"/>
          <w:sz w:val="20"/>
          <w:szCs w:val="20"/>
          <w:u w:val="single"/>
        </w:rPr>
        <w:t>Nursing Action</w:t>
      </w:r>
      <w:r w:rsidR="00CC42D7" w:rsidRPr="00580835">
        <w:rPr>
          <w:rFonts w:ascii="Arial" w:hAnsi="Arial" w:cs="Arial"/>
          <w:sz w:val="20"/>
          <w:szCs w:val="20"/>
          <w:u w:val="single"/>
        </w:rPr>
        <w:t>s</w:t>
      </w:r>
    </w:p>
    <w:p w:rsidR="007560C5" w:rsidRDefault="00302D9D" w:rsidP="00062B2B">
      <w:pPr>
        <w:pStyle w:val="CommentText"/>
        <w:tabs>
          <w:tab w:val="left" w:pos="630"/>
          <w:tab w:val="left" w:pos="370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A.  Syphilis </w:t>
      </w:r>
      <w:r w:rsidR="00DF3F29">
        <w:rPr>
          <w:rFonts w:ascii="Arial" w:hAnsi="Arial" w:cs="Arial"/>
        </w:rPr>
        <w:t xml:space="preserve">approved </w:t>
      </w:r>
      <w:r>
        <w:rPr>
          <w:rFonts w:ascii="Arial" w:hAnsi="Arial" w:cs="Arial"/>
        </w:rPr>
        <w:t xml:space="preserve">test </w:t>
      </w:r>
      <w:r w:rsidR="00920443">
        <w:rPr>
          <w:rFonts w:ascii="Arial" w:hAnsi="Arial" w:cs="Arial"/>
        </w:rPr>
        <w:t>should</w:t>
      </w:r>
      <w:r w:rsidR="00DF3F29">
        <w:rPr>
          <w:rFonts w:ascii="Arial" w:hAnsi="Arial" w:cs="Arial"/>
        </w:rPr>
        <w:t xml:space="preserve"> be order by</w:t>
      </w:r>
      <w:r w:rsidR="00821C72">
        <w:rPr>
          <w:rFonts w:ascii="Arial" w:hAnsi="Arial" w:cs="Arial"/>
        </w:rPr>
        <w:t xml:space="preserve"> STD ERRN</w:t>
      </w:r>
      <w:r>
        <w:rPr>
          <w:rFonts w:ascii="Arial" w:hAnsi="Arial" w:cs="Arial"/>
        </w:rPr>
        <w:t xml:space="preserve"> based on </w:t>
      </w:r>
      <w:r w:rsidR="00920443">
        <w:rPr>
          <w:rFonts w:ascii="Arial" w:hAnsi="Arial" w:cs="Arial"/>
        </w:rPr>
        <w:t xml:space="preserve">any </w:t>
      </w:r>
      <w:r w:rsidR="001005E8">
        <w:rPr>
          <w:rFonts w:ascii="Arial" w:hAnsi="Arial" w:cs="Arial"/>
        </w:rPr>
        <w:t>subjective or</w:t>
      </w:r>
      <w:r w:rsidR="00DD44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objective findings </w:t>
      </w:r>
      <w:r w:rsidR="001005E8">
        <w:rPr>
          <w:rFonts w:ascii="Arial" w:hAnsi="Arial" w:cs="Arial"/>
        </w:rPr>
        <w:t xml:space="preserve">listed </w:t>
      </w:r>
      <w:r>
        <w:rPr>
          <w:rFonts w:ascii="Arial" w:hAnsi="Arial" w:cs="Arial"/>
        </w:rPr>
        <w:t>above</w:t>
      </w:r>
      <w:r w:rsidR="007560C5" w:rsidRPr="00580835">
        <w:rPr>
          <w:rFonts w:ascii="Arial" w:hAnsi="Arial" w:cs="Arial"/>
        </w:rPr>
        <w:t>:</w:t>
      </w:r>
    </w:p>
    <w:p w:rsidR="00A42259" w:rsidRDefault="00DF3F29" w:rsidP="00062B2B">
      <w:pPr>
        <w:pStyle w:val="CommentText"/>
        <w:tabs>
          <w:tab w:val="left" w:pos="370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02D9D">
        <w:rPr>
          <w:rFonts w:ascii="Arial" w:hAnsi="Arial" w:cs="Arial"/>
        </w:rPr>
        <w:t xml:space="preserve"> </w:t>
      </w:r>
      <w:proofErr w:type="spellStart"/>
      <w:r w:rsidR="00302D9D">
        <w:rPr>
          <w:rFonts w:ascii="Arial" w:hAnsi="Arial" w:cs="Arial"/>
        </w:rPr>
        <w:t>Darkfield</w:t>
      </w:r>
      <w:proofErr w:type="spellEnd"/>
      <w:r w:rsidR="00302D9D">
        <w:rPr>
          <w:rFonts w:ascii="Arial" w:hAnsi="Arial" w:cs="Arial"/>
        </w:rPr>
        <w:t xml:space="preserve"> (DF) </w:t>
      </w:r>
    </w:p>
    <w:p w:rsidR="005C0572" w:rsidRPr="005C0572" w:rsidRDefault="000734FD" w:rsidP="00062B2B">
      <w:pPr>
        <w:autoSpaceDE w:val="0"/>
        <w:autoSpaceDN w:val="0"/>
        <w:adjustRightInd w:val="0"/>
        <w:ind w:left="990" w:hanging="27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To collect a DF</w:t>
      </w:r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specimen: </w:t>
      </w:r>
    </w:p>
    <w:p w:rsidR="005C0572" w:rsidRPr="005C0572" w:rsidRDefault="00CD5405" w:rsidP="00062B2B">
      <w:pPr>
        <w:numPr>
          <w:ilvl w:val="0"/>
          <w:numId w:val="18"/>
        </w:numPr>
        <w:autoSpaceDE w:val="0"/>
        <w:autoSpaceDN w:val="0"/>
        <w:adjustRightInd w:val="0"/>
        <w:ind w:left="990" w:hanging="27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c</w:t>
      </w:r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lean slides with alcohol before using </w:t>
      </w:r>
    </w:p>
    <w:p w:rsidR="005C0572" w:rsidRPr="005C0572" w:rsidRDefault="00CD5405" w:rsidP="00062B2B">
      <w:pPr>
        <w:numPr>
          <w:ilvl w:val="0"/>
          <w:numId w:val="18"/>
        </w:numPr>
        <w:autoSpaceDE w:val="0"/>
        <w:autoSpaceDN w:val="0"/>
        <w:adjustRightInd w:val="0"/>
        <w:ind w:left="990" w:hanging="27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m</w:t>
      </w:r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ake two or more slides</w:t>
      </w:r>
      <w:r w:rsidR="000734FD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, if</w:t>
      </w:r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enough fluid is available </w:t>
      </w:r>
    </w:p>
    <w:p w:rsidR="005C0572" w:rsidRPr="005C0572" w:rsidRDefault="00CD5405" w:rsidP="00062B2B">
      <w:pPr>
        <w:numPr>
          <w:ilvl w:val="0"/>
          <w:numId w:val="18"/>
        </w:numPr>
        <w:autoSpaceDE w:val="0"/>
        <w:autoSpaceDN w:val="0"/>
        <w:adjustRightInd w:val="0"/>
        <w:ind w:left="990" w:hanging="27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c</w:t>
      </w:r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lean and soften the lesion with non-bacterio</w:t>
      </w:r>
      <w:r w:rsidR="000734FD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stat</w:t>
      </w:r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ic saline on gauze </w:t>
      </w:r>
    </w:p>
    <w:p w:rsidR="005C0572" w:rsidRPr="005C0572" w:rsidRDefault="00CD5405" w:rsidP="00062B2B">
      <w:pPr>
        <w:numPr>
          <w:ilvl w:val="0"/>
          <w:numId w:val="18"/>
        </w:numPr>
        <w:autoSpaceDE w:val="0"/>
        <w:autoSpaceDN w:val="0"/>
        <w:adjustRightInd w:val="0"/>
        <w:ind w:left="990" w:hanging="27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proofErr w:type="gramStart"/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g</w:t>
      </w:r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ently</w:t>
      </w:r>
      <w:proofErr w:type="gramEnd"/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abrade the lesion to cause oozing, applying gentle pressure at the base of the lesion, if necessary. Avoid making the lesion bleed </w:t>
      </w:r>
    </w:p>
    <w:p w:rsidR="005C0572" w:rsidRPr="005C0572" w:rsidRDefault="00CD5405" w:rsidP="00062B2B">
      <w:pPr>
        <w:numPr>
          <w:ilvl w:val="0"/>
          <w:numId w:val="18"/>
        </w:numPr>
        <w:autoSpaceDE w:val="0"/>
        <w:autoSpaceDN w:val="0"/>
        <w:adjustRightInd w:val="0"/>
        <w:ind w:left="990" w:hanging="27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a</w:t>
      </w:r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llow serous fluid to accumulate and apply to slide by touching the slide to the lesion o</w:t>
      </w:r>
      <w:r w:rsidR="005C0572" w:rsidRPr="005C0572">
        <w:rPr>
          <w:rFonts w:ascii="Arial" w:eastAsiaTheme="minorHAnsi" w:hAnsi="Arial" w:cs="Arial"/>
          <w:sz w:val="20"/>
          <w:szCs w:val="20"/>
        </w:rPr>
        <w:t>r</w:t>
      </w:r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by using a sterile bacteriologic loop</w:t>
      </w:r>
    </w:p>
    <w:p w:rsidR="005C0572" w:rsidRPr="005C0572" w:rsidRDefault="00CD5405" w:rsidP="00062B2B">
      <w:pPr>
        <w:numPr>
          <w:ilvl w:val="0"/>
          <w:numId w:val="18"/>
        </w:numPr>
        <w:autoSpaceDE w:val="0"/>
        <w:autoSpaceDN w:val="0"/>
        <w:adjustRightInd w:val="0"/>
        <w:ind w:left="990" w:hanging="27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c</w:t>
      </w:r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over-slip the specimen </w:t>
      </w:r>
    </w:p>
    <w:p w:rsidR="005C0572" w:rsidRPr="005C0572" w:rsidRDefault="00AB1AFB" w:rsidP="00062B2B">
      <w:pPr>
        <w:numPr>
          <w:ilvl w:val="0"/>
          <w:numId w:val="18"/>
        </w:numPr>
        <w:autoSpaceDE w:val="0"/>
        <w:autoSpaceDN w:val="0"/>
        <w:adjustRightInd w:val="0"/>
        <w:ind w:left="990" w:hanging="27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proofErr w:type="gramStart"/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lastRenderedPageBreak/>
        <w:t>e</w:t>
      </w:r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xamine</w:t>
      </w:r>
      <w:proofErr w:type="gramEnd"/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immediately using a </w:t>
      </w:r>
      <w:r w:rsidR="000734FD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DF</w:t>
      </w:r>
      <w:r w:rsidR="005C0572" w:rsidRPr="005C057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microscope. If not examined immediately, slides must be placed in a moist chamber to prevent drying </w:t>
      </w:r>
    </w:p>
    <w:p w:rsidR="005C0572" w:rsidRDefault="005C0572" w:rsidP="00062B2B">
      <w:pPr>
        <w:autoSpaceDE w:val="0"/>
        <w:autoSpaceDN w:val="0"/>
        <w:adjustRightInd w:val="0"/>
        <w:ind w:left="630"/>
        <w:contextualSpacing/>
        <w:rPr>
          <w:rFonts w:ascii="Arial" w:eastAsiaTheme="minorHAnsi" w:hAnsi="Arial" w:cs="Arial"/>
          <w:i/>
          <w:color w:val="000000"/>
          <w:sz w:val="18"/>
          <w:szCs w:val="18"/>
          <w14:numForm w14:val="lining"/>
          <w14:numSpacing w14:val="tabular"/>
        </w:rPr>
      </w:pPr>
      <w:r w:rsidRPr="005C0572">
        <w:rPr>
          <w:rFonts w:ascii="Arial" w:eastAsiaTheme="minorHAnsi" w:hAnsi="Arial" w:cs="Arial"/>
          <w:i/>
          <w:color w:val="000000"/>
          <w:sz w:val="18"/>
          <w:szCs w:val="18"/>
          <w14:numForm w14:val="lining"/>
          <w14:numSpacing w14:val="tabular"/>
        </w:rPr>
        <w:t xml:space="preserve">(Tip: A moist chamber </w:t>
      </w:r>
      <w:proofErr w:type="gramStart"/>
      <w:r w:rsidRPr="005C0572">
        <w:rPr>
          <w:rFonts w:ascii="Arial" w:eastAsiaTheme="minorHAnsi" w:hAnsi="Arial" w:cs="Arial"/>
          <w:i/>
          <w:color w:val="000000"/>
          <w:sz w:val="18"/>
          <w:szCs w:val="18"/>
          <w14:numForm w14:val="lining"/>
          <w14:numSpacing w14:val="tabular"/>
        </w:rPr>
        <w:t>may be created</w:t>
      </w:r>
      <w:proofErr w:type="gramEnd"/>
      <w:r w:rsidRPr="005C0572">
        <w:rPr>
          <w:rFonts w:ascii="Arial" w:eastAsiaTheme="minorHAnsi" w:hAnsi="Arial" w:cs="Arial"/>
          <w:i/>
          <w:color w:val="000000"/>
          <w:sz w:val="18"/>
          <w:szCs w:val="18"/>
          <w14:numForm w14:val="lining"/>
          <w14:numSpacing w14:val="tabular"/>
        </w:rPr>
        <w:t xml:space="preserve"> by placing sterile gauze in a petri dish and moistening with</w:t>
      </w:r>
      <w:r w:rsidR="000734FD">
        <w:rPr>
          <w:rFonts w:ascii="Arial" w:eastAsiaTheme="minorHAnsi" w:hAnsi="Arial" w:cs="Arial"/>
          <w:i/>
          <w:color w:val="000000"/>
          <w:sz w:val="18"/>
          <w:szCs w:val="18"/>
          <w14:numForm w14:val="lining"/>
          <w14:numSpacing w14:val="tabular"/>
        </w:rPr>
        <w:t xml:space="preserve"> sterile saline. Place DF</w:t>
      </w:r>
      <w:r w:rsidRPr="005C0572">
        <w:rPr>
          <w:rFonts w:ascii="Arial" w:eastAsiaTheme="minorHAnsi" w:hAnsi="Arial" w:cs="Arial"/>
          <w:i/>
          <w:color w:val="000000"/>
          <w:sz w:val="18"/>
          <w:szCs w:val="18"/>
          <w14:numForm w14:val="lining"/>
          <w14:numSpacing w14:val="tabular"/>
        </w:rPr>
        <w:t xml:space="preserve"> slides on top of the gauze and place cover on petri dish). </w:t>
      </w:r>
    </w:p>
    <w:p w:rsidR="000734FD" w:rsidRDefault="000734FD" w:rsidP="00062B2B">
      <w:pPr>
        <w:autoSpaceDE w:val="0"/>
        <w:autoSpaceDN w:val="0"/>
        <w:adjustRightInd w:val="0"/>
        <w:ind w:left="630"/>
        <w:contextualSpacing/>
        <w:rPr>
          <w:rFonts w:ascii="Arial" w:eastAsiaTheme="minorHAnsi" w:hAnsi="Arial" w:cs="Arial"/>
          <w:i/>
          <w:color w:val="000000"/>
          <w:sz w:val="18"/>
          <w:szCs w:val="18"/>
          <w14:numForm w14:val="lining"/>
          <w14:numSpacing w14:val="tabular"/>
        </w:rPr>
      </w:pPr>
    </w:p>
    <w:p w:rsidR="000734FD" w:rsidRDefault="000734FD" w:rsidP="00062B2B">
      <w:pPr>
        <w:autoSpaceDE w:val="0"/>
        <w:autoSpaceDN w:val="0"/>
        <w:adjustRightInd w:val="0"/>
        <w:ind w:left="63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 w:rsidRPr="000734FD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Positive Finding</w:t>
      </w: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</w:t>
      </w:r>
      <w:r w:rsidRPr="000734FD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- T. pallidum detected from lesion exudate or tissue</w:t>
      </w:r>
    </w:p>
    <w:p w:rsidR="000734FD" w:rsidRPr="005C0572" w:rsidRDefault="000734FD" w:rsidP="00062B2B">
      <w:pPr>
        <w:autoSpaceDE w:val="0"/>
        <w:autoSpaceDN w:val="0"/>
        <w:adjustRightInd w:val="0"/>
        <w:ind w:left="63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Negative Finding –</w:t>
      </w:r>
      <w:r w:rsidR="00AB1AFB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T. pallidum NOT detected from lesion exudate or tissue</w:t>
      </w:r>
    </w:p>
    <w:p w:rsidR="005C0572" w:rsidRDefault="005C0572" w:rsidP="00443DF0">
      <w:pPr>
        <w:pStyle w:val="CommentText"/>
        <w:tabs>
          <w:tab w:val="left" w:pos="3705"/>
        </w:tabs>
        <w:ind w:left="360"/>
        <w:rPr>
          <w:rFonts w:ascii="Arial" w:hAnsi="Arial" w:cs="Arial"/>
        </w:rPr>
      </w:pPr>
    </w:p>
    <w:p w:rsidR="00DF3F29" w:rsidRDefault="00A42259" w:rsidP="00443DF0">
      <w:pPr>
        <w:pStyle w:val="CommentText"/>
        <w:tabs>
          <w:tab w:val="left" w:pos="370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0734FD">
        <w:rPr>
          <w:rFonts w:ascii="Arial" w:hAnsi="Arial" w:cs="Arial"/>
        </w:rPr>
        <w:t>STAT</w:t>
      </w:r>
      <w:r w:rsidR="00DF3F29">
        <w:rPr>
          <w:rFonts w:ascii="Arial" w:hAnsi="Arial" w:cs="Arial"/>
        </w:rPr>
        <w:t xml:space="preserve"> </w:t>
      </w:r>
      <w:r w:rsidR="009E3514">
        <w:rPr>
          <w:rFonts w:ascii="Arial" w:hAnsi="Arial" w:cs="Arial"/>
        </w:rPr>
        <w:t xml:space="preserve">Rapid Plasma </w:t>
      </w:r>
      <w:proofErr w:type="spellStart"/>
      <w:r w:rsidR="009E3514">
        <w:rPr>
          <w:rFonts w:ascii="Arial" w:hAnsi="Arial" w:cs="Arial"/>
        </w:rPr>
        <w:t>Reagin</w:t>
      </w:r>
      <w:proofErr w:type="spellEnd"/>
      <w:r w:rsidR="009E3514">
        <w:rPr>
          <w:rFonts w:ascii="Arial" w:hAnsi="Arial" w:cs="Arial"/>
        </w:rPr>
        <w:t xml:space="preserve"> (</w:t>
      </w:r>
      <w:proofErr w:type="spellStart"/>
      <w:r w:rsidR="00DF3F29">
        <w:rPr>
          <w:rFonts w:ascii="Arial" w:hAnsi="Arial" w:cs="Arial"/>
        </w:rPr>
        <w:t>RPR</w:t>
      </w:r>
      <w:proofErr w:type="spellEnd"/>
      <w:r w:rsidR="009E3514">
        <w:rPr>
          <w:rFonts w:ascii="Arial" w:hAnsi="Arial" w:cs="Arial"/>
        </w:rPr>
        <w:t>)</w:t>
      </w:r>
      <w:r w:rsidR="00DF3F29">
        <w:rPr>
          <w:rFonts w:ascii="Arial" w:hAnsi="Arial" w:cs="Arial"/>
        </w:rPr>
        <w:t xml:space="preserve"> – </w:t>
      </w:r>
    </w:p>
    <w:p w:rsidR="00DF3F29" w:rsidRDefault="009E3514" w:rsidP="004E4837">
      <w:pPr>
        <w:pStyle w:val="CommentText"/>
        <w:tabs>
          <w:tab w:val="left" w:pos="3705"/>
        </w:tabs>
        <w:ind w:left="630"/>
        <w:rPr>
          <w:rFonts w:ascii="Arial" w:hAnsi="Arial" w:cs="Arial"/>
        </w:rPr>
      </w:pPr>
      <w:r>
        <w:rPr>
          <w:rFonts w:ascii="Arial" w:hAnsi="Arial" w:cs="Arial"/>
        </w:rPr>
        <w:t>If the c</w:t>
      </w:r>
      <w:r w:rsidR="00DF3F29">
        <w:rPr>
          <w:rFonts w:ascii="Arial" w:hAnsi="Arial" w:cs="Arial"/>
        </w:rPr>
        <w:t xml:space="preserve">lient does not have a history of syphilis:  a </w:t>
      </w:r>
      <w:r w:rsidR="000734FD">
        <w:rPr>
          <w:rFonts w:ascii="Arial" w:hAnsi="Arial" w:cs="Arial"/>
        </w:rPr>
        <w:t>STAT</w:t>
      </w:r>
      <w:r w:rsidR="00DF3F29">
        <w:rPr>
          <w:rFonts w:ascii="Arial" w:hAnsi="Arial" w:cs="Arial"/>
        </w:rPr>
        <w:t xml:space="preserve"> RPR can be collected and processed by some local health department’s</w:t>
      </w:r>
      <w:r>
        <w:rPr>
          <w:rFonts w:ascii="Arial" w:hAnsi="Arial" w:cs="Arial"/>
        </w:rPr>
        <w:t xml:space="preserve"> (LHD)</w:t>
      </w:r>
      <w:r w:rsidR="00DF3F29">
        <w:rPr>
          <w:rFonts w:ascii="Arial" w:hAnsi="Arial" w:cs="Arial"/>
        </w:rPr>
        <w:t xml:space="preserve"> labs during the same STD visit</w:t>
      </w:r>
      <w:r>
        <w:rPr>
          <w:rFonts w:ascii="Arial" w:hAnsi="Arial" w:cs="Arial"/>
        </w:rPr>
        <w:t>.</w:t>
      </w:r>
    </w:p>
    <w:p w:rsidR="00DF3F29" w:rsidRDefault="00DF3F29" w:rsidP="00DF3F29">
      <w:pPr>
        <w:pStyle w:val="CommentText"/>
        <w:numPr>
          <w:ilvl w:val="0"/>
          <w:numId w:val="15"/>
        </w:num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Positive results – Reactive </w:t>
      </w:r>
    </w:p>
    <w:p w:rsidR="00DF3F29" w:rsidRDefault="00DF3F29" w:rsidP="004E4837">
      <w:pPr>
        <w:pStyle w:val="CommentText"/>
        <w:tabs>
          <w:tab w:val="left" w:pos="3705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client meets the criteria for presumptive treatment and referral to regional or local DIS)</w:t>
      </w:r>
    </w:p>
    <w:p w:rsidR="00DF3F29" w:rsidRDefault="00DF3F29" w:rsidP="00DF3F29">
      <w:pPr>
        <w:pStyle w:val="CommentText"/>
        <w:numPr>
          <w:ilvl w:val="0"/>
          <w:numId w:val="15"/>
        </w:num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>Negative results – Non-Reactive</w:t>
      </w:r>
    </w:p>
    <w:p w:rsidR="00DF3F29" w:rsidRDefault="00DF3F29" w:rsidP="004E4837">
      <w:pPr>
        <w:pStyle w:val="CommentText"/>
        <w:tabs>
          <w:tab w:val="left" w:pos="3705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="001005E8">
        <w:rPr>
          <w:rFonts w:ascii="Arial" w:hAnsi="Arial" w:cs="Arial"/>
        </w:rPr>
        <w:t>if</w:t>
      </w:r>
      <w:proofErr w:type="gramEnd"/>
      <w:r w:rsidR="001005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symptoms or history suggest possible syphilis</w:t>
      </w:r>
      <w:r w:rsidR="001005E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contact your local </w:t>
      </w:r>
      <w:r w:rsidR="001005E8">
        <w:rPr>
          <w:rFonts w:ascii="Arial" w:hAnsi="Arial" w:cs="Arial"/>
        </w:rPr>
        <w:t xml:space="preserve">medical </w:t>
      </w:r>
      <w:r>
        <w:rPr>
          <w:rFonts w:ascii="Arial" w:hAnsi="Arial" w:cs="Arial"/>
        </w:rPr>
        <w:t>provider before the client leaves the clinic for individual orders)</w:t>
      </w:r>
    </w:p>
    <w:p w:rsidR="006C62AA" w:rsidRPr="006C62AA" w:rsidRDefault="006C62AA" w:rsidP="00DF3F2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F2F4C" w:rsidRDefault="00A42259" w:rsidP="0009635F">
      <w:pPr>
        <w:tabs>
          <w:tab w:val="left" w:pos="63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9E35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9E3514">
        <w:rPr>
          <w:rFonts w:ascii="Arial" w:hAnsi="Arial" w:cs="Arial"/>
          <w:sz w:val="20"/>
          <w:szCs w:val="20"/>
        </w:rPr>
        <w:t>Syphilis Serology –</w:t>
      </w:r>
    </w:p>
    <w:p w:rsidR="00F5749C" w:rsidRDefault="009E3514" w:rsidP="00443DF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a. </w:t>
      </w:r>
      <w:r w:rsidR="00F5749C">
        <w:rPr>
          <w:rFonts w:ascii="Arial" w:hAnsi="Arial" w:cs="Arial"/>
          <w:sz w:val="20"/>
          <w:szCs w:val="20"/>
        </w:rPr>
        <w:t xml:space="preserve">Rapid Plasma </w:t>
      </w:r>
      <w:proofErr w:type="spellStart"/>
      <w:r w:rsidR="00F5749C">
        <w:rPr>
          <w:rFonts w:ascii="Arial" w:hAnsi="Arial" w:cs="Arial"/>
          <w:sz w:val="20"/>
          <w:szCs w:val="20"/>
        </w:rPr>
        <w:t>Reagin</w:t>
      </w:r>
      <w:proofErr w:type="spellEnd"/>
      <w:r w:rsidR="00631EF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31EFB">
        <w:rPr>
          <w:rFonts w:ascii="Arial" w:hAnsi="Arial" w:cs="Arial"/>
          <w:sz w:val="20"/>
          <w:szCs w:val="20"/>
        </w:rPr>
        <w:t>RPR</w:t>
      </w:r>
      <w:proofErr w:type="spellEnd"/>
      <w:r w:rsidR="00631EFB">
        <w:rPr>
          <w:rFonts w:ascii="Arial" w:hAnsi="Arial" w:cs="Arial"/>
          <w:sz w:val="20"/>
          <w:szCs w:val="20"/>
        </w:rPr>
        <w:t xml:space="preserve">) </w:t>
      </w:r>
    </w:p>
    <w:p w:rsidR="00631EFB" w:rsidRPr="00A42259" w:rsidRDefault="00631EFB" w:rsidP="00631EFB">
      <w:pPr>
        <w:pStyle w:val="ListParagraph"/>
        <w:numPr>
          <w:ilvl w:val="0"/>
          <w:numId w:val="15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A42259">
        <w:rPr>
          <w:rFonts w:ascii="Arial" w:hAnsi="Arial" w:cs="Arial"/>
          <w:sz w:val="20"/>
          <w:szCs w:val="20"/>
        </w:rPr>
        <w:t>s available as a non-treponemal screening test</w:t>
      </w:r>
      <w:r>
        <w:rPr>
          <w:rFonts w:ascii="Arial" w:hAnsi="Arial" w:cs="Arial"/>
          <w:sz w:val="20"/>
          <w:szCs w:val="20"/>
        </w:rPr>
        <w:t xml:space="preserve"> from the NCSLPH </w:t>
      </w:r>
    </w:p>
    <w:p w:rsidR="00F5749C" w:rsidRPr="00631EFB" w:rsidRDefault="00631EFB" w:rsidP="00AC2DCC">
      <w:pPr>
        <w:pStyle w:val="ListParagraph"/>
        <w:numPr>
          <w:ilvl w:val="0"/>
          <w:numId w:val="15"/>
        </w:numPr>
        <w:ind w:left="1440"/>
        <w:rPr>
          <w:rFonts w:ascii="Arial" w:hAnsi="Arial" w:cs="Arial"/>
          <w:sz w:val="20"/>
          <w:szCs w:val="20"/>
        </w:rPr>
      </w:pPr>
      <w:proofErr w:type="gramStart"/>
      <w:r w:rsidRPr="00631EFB">
        <w:rPr>
          <w:rFonts w:ascii="Arial" w:hAnsi="Arial" w:cs="Arial"/>
          <w:sz w:val="20"/>
          <w:szCs w:val="20"/>
        </w:rPr>
        <w:t>a</w:t>
      </w:r>
      <w:proofErr w:type="gramEnd"/>
      <w:r w:rsidRPr="00631EFB">
        <w:rPr>
          <w:rFonts w:ascii="Arial" w:hAnsi="Arial" w:cs="Arial"/>
          <w:sz w:val="20"/>
          <w:szCs w:val="20"/>
        </w:rPr>
        <w:t xml:space="preserve"> RPR serology is to be ordered each time a client comes to the STD clinic, unless the client has had a RPR serology</w:t>
      </w:r>
      <w:r w:rsidRPr="00DA24B0">
        <w:rPr>
          <w:rFonts w:ascii="Arial" w:hAnsi="Arial" w:cs="Arial"/>
          <w:sz w:val="20"/>
          <w:szCs w:val="20"/>
        </w:rPr>
        <w:t xml:space="preserve"> within the last 30 days and the visit is not concerning possible syphilis symptoms</w:t>
      </w:r>
      <w:r w:rsidRPr="00F13C24">
        <w:rPr>
          <w:rFonts w:ascii="Arial" w:hAnsi="Arial" w:cs="Arial"/>
          <w:sz w:val="20"/>
          <w:szCs w:val="20"/>
        </w:rPr>
        <w:t>. (</w:t>
      </w:r>
      <w:r w:rsidR="00832ED6">
        <w:rPr>
          <w:rFonts w:ascii="Arial" w:hAnsi="Arial" w:cs="Arial"/>
          <w:sz w:val="20"/>
          <w:szCs w:val="20"/>
        </w:rPr>
        <w:t xml:space="preserve">i.e., </w:t>
      </w:r>
      <w:r w:rsidRPr="00F13C24">
        <w:rPr>
          <w:rFonts w:ascii="Arial" w:hAnsi="Arial" w:cs="Arial"/>
          <w:sz w:val="20"/>
          <w:szCs w:val="20"/>
        </w:rPr>
        <w:t>s</w:t>
      </w:r>
      <w:r w:rsidR="00C00BA8">
        <w:rPr>
          <w:rFonts w:ascii="Arial" w:hAnsi="Arial" w:cs="Arial"/>
          <w:sz w:val="20"/>
          <w:szCs w:val="20"/>
        </w:rPr>
        <w:t>creening only</w:t>
      </w:r>
      <w:r w:rsidRPr="00F13C24">
        <w:rPr>
          <w:rFonts w:ascii="Arial" w:hAnsi="Arial" w:cs="Arial"/>
          <w:sz w:val="20"/>
          <w:szCs w:val="20"/>
        </w:rPr>
        <w:t>)</w:t>
      </w:r>
      <w:r w:rsidR="00F5749C" w:rsidRPr="00631EFB">
        <w:rPr>
          <w:rFonts w:ascii="Arial" w:hAnsi="Arial" w:cs="Arial"/>
          <w:sz w:val="20"/>
          <w:szCs w:val="20"/>
        </w:rPr>
        <w:tab/>
      </w:r>
    </w:p>
    <w:p w:rsidR="009E3514" w:rsidRDefault="00F5749C" w:rsidP="00443DF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b. </w:t>
      </w:r>
      <w:r w:rsidR="009E3514">
        <w:rPr>
          <w:rFonts w:ascii="Arial" w:hAnsi="Arial" w:cs="Arial"/>
          <w:sz w:val="20"/>
          <w:szCs w:val="20"/>
        </w:rPr>
        <w:t xml:space="preserve">Toluidine Red Unheated Serum Test (TRUST) - </w:t>
      </w:r>
    </w:p>
    <w:p w:rsidR="00A42259" w:rsidRDefault="00EF1AF0" w:rsidP="00302D9D">
      <w:pPr>
        <w:pStyle w:val="ListParagraph"/>
        <w:numPr>
          <w:ilvl w:val="0"/>
          <w:numId w:val="15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E3514" w:rsidRPr="00A42259">
        <w:rPr>
          <w:rFonts w:ascii="Arial" w:hAnsi="Arial" w:cs="Arial"/>
          <w:sz w:val="20"/>
          <w:szCs w:val="20"/>
        </w:rPr>
        <w:t>s available as a non-treponemal screening test</w:t>
      </w:r>
      <w:r w:rsidR="00F5749C">
        <w:rPr>
          <w:rFonts w:ascii="Arial" w:hAnsi="Arial" w:cs="Arial"/>
          <w:sz w:val="20"/>
          <w:szCs w:val="20"/>
        </w:rPr>
        <w:t xml:space="preserve"> from some reference labs</w:t>
      </w:r>
    </w:p>
    <w:p w:rsidR="00366D03" w:rsidRPr="00A42259" w:rsidRDefault="00366D03" w:rsidP="00302D9D">
      <w:pPr>
        <w:pStyle w:val="ListParagraph"/>
        <w:numPr>
          <w:ilvl w:val="0"/>
          <w:numId w:val="15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The TRUST </w:t>
      </w:r>
      <w:proofErr w:type="gramStart"/>
      <w:r w:rsidR="00832ED6"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z w:val="20"/>
          <w:szCs w:val="20"/>
        </w:rPr>
        <w:t xml:space="preserve"> used</w:t>
      </w:r>
      <w:proofErr w:type="gramEnd"/>
      <w:r>
        <w:rPr>
          <w:rFonts w:ascii="Arial" w:hAnsi="Arial" w:cs="Arial"/>
          <w:sz w:val="20"/>
          <w:szCs w:val="20"/>
        </w:rPr>
        <w:t xml:space="preserve"> in the past by the NCSLPH.</w:t>
      </w:r>
    </w:p>
    <w:p w:rsidR="0066146E" w:rsidRPr="00A42259" w:rsidRDefault="00017BCB" w:rsidP="00AC2DCC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66146E">
        <w:rPr>
          <w:rFonts w:ascii="Arial" w:hAnsi="Arial" w:cs="Arial"/>
          <w:sz w:val="20"/>
          <w:szCs w:val="20"/>
        </w:rPr>
        <w:t xml:space="preserve">TRUST and </w:t>
      </w:r>
      <w:proofErr w:type="spellStart"/>
      <w:r w:rsidR="0066146E">
        <w:rPr>
          <w:rFonts w:ascii="Arial" w:hAnsi="Arial" w:cs="Arial"/>
          <w:sz w:val="20"/>
          <w:szCs w:val="20"/>
        </w:rPr>
        <w:t>RPR</w:t>
      </w:r>
      <w:proofErr w:type="spellEnd"/>
      <w:r w:rsidR="0066146E">
        <w:rPr>
          <w:rFonts w:ascii="Arial" w:hAnsi="Arial" w:cs="Arial"/>
          <w:sz w:val="20"/>
          <w:szCs w:val="20"/>
        </w:rPr>
        <w:t xml:space="preserve"> titers are not directly comparable so</w:t>
      </w:r>
      <w:r w:rsidR="00705CF4">
        <w:rPr>
          <w:rFonts w:ascii="Arial" w:hAnsi="Arial" w:cs="Arial"/>
          <w:sz w:val="20"/>
          <w:szCs w:val="20"/>
        </w:rPr>
        <w:t xml:space="preserve"> when following titers to assess for </w:t>
      </w:r>
      <w:r>
        <w:rPr>
          <w:rFonts w:ascii="Arial" w:hAnsi="Arial" w:cs="Arial"/>
          <w:sz w:val="20"/>
          <w:szCs w:val="20"/>
        </w:rPr>
        <w:tab/>
      </w:r>
      <w:r w:rsidR="00705CF4">
        <w:rPr>
          <w:rFonts w:ascii="Arial" w:hAnsi="Arial" w:cs="Arial"/>
          <w:sz w:val="20"/>
          <w:szCs w:val="20"/>
        </w:rPr>
        <w:t xml:space="preserve">adequate response to treatment or reinfection, every effort </w:t>
      </w:r>
      <w:proofErr w:type="gramStart"/>
      <w:r w:rsidR="00705CF4">
        <w:rPr>
          <w:rFonts w:ascii="Arial" w:hAnsi="Arial" w:cs="Arial"/>
          <w:sz w:val="20"/>
          <w:szCs w:val="20"/>
        </w:rPr>
        <w:t>should be made</w:t>
      </w:r>
      <w:proofErr w:type="gramEnd"/>
      <w:r w:rsidR="00705CF4">
        <w:rPr>
          <w:rFonts w:ascii="Arial" w:hAnsi="Arial" w:cs="Arial"/>
          <w:sz w:val="20"/>
          <w:szCs w:val="20"/>
        </w:rPr>
        <w:t xml:space="preserve"> to use</w:t>
      </w:r>
      <w:r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ab/>
        <w:t xml:space="preserve">same non-treponemal screening </w:t>
      </w:r>
      <w:r w:rsidR="00EA5FA2">
        <w:rPr>
          <w:rFonts w:ascii="Arial" w:hAnsi="Arial" w:cs="Arial"/>
          <w:sz w:val="20"/>
          <w:szCs w:val="20"/>
        </w:rPr>
        <w:t>method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RPR</w:t>
      </w:r>
      <w:proofErr w:type="spellEnd"/>
      <w:r w:rsidR="001005E8">
        <w:rPr>
          <w:rFonts w:ascii="Arial" w:hAnsi="Arial" w:cs="Arial"/>
          <w:sz w:val="20"/>
          <w:szCs w:val="20"/>
        </w:rPr>
        <w:t xml:space="preserve"> vs</w:t>
      </w:r>
      <w:r>
        <w:rPr>
          <w:rFonts w:ascii="Arial" w:hAnsi="Arial" w:cs="Arial"/>
          <w:sz w:val="20"/>
          <w:szCs w:val="20"/>
        </w:rPr>
        <w:t xml:space="preserve"> TRUST) that was used for the initial </w:t>
      </w:r>
      <w:r>
        <w:rPr>
          <w:rFonts w:ascii="Arial" w:hAnsi="Arial" w:cs="Arial"/>
          <w:sz w:val="20"/>
          <w:szCs w:val="20"/>
        </w:rPr>
        <w:tab/>
        <w:t>screen.</w:t>
      </w:r>
    </w:p>
    <w:p w:rsidR="009E3514" w:rsidRDefault="00F5749C" w:rsidP="009E3514">
      <w:pPr>
        <w:ind w:left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</w:t>
      </w:r>
      <w:proofErr w:type="gramEnd"/>
      <w:r w:rsidR="009E351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E3514">
        <w:rPr>
          <w:rFonts w:ascii="Arial" w:hAnsi="Arial" w:cs="Arial"/>
          <w:sz w:val="20"/>
          <w:szCs w:val="20"/>
        </w:rPr>
        <w:t>TrepSure</w:t>
      </w:r>
      <w:proofErr w:type="spellEnd"/>
      <w:r w:rsidR="009E3514">
        <w:rPr>
          <w:rFonts w:ascii="Arial" w:hAnsi="Arial" w:cs="Arial"/>
          <w:sz w:val="20"/>
          <w:szCs w:val="20"/>
        </w:rPr>
        <w:t xml:space="preserve"> EIA</w:t>
      </w:r>
    </w:p>
    <w:p w:rsidR="00A42259" w:rsidRPr="00302D9D" w:rsidRDefault="00510708" w:rsidP="00302D9D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42259" w:rsidRPr="00302D9D">
        <w:rPr>
          <w:rFonts w:ascii="Arial" w:hAnsi="Arial" w:cs="Arial"/>
          <w:sz w:val="20"/>
          <w:szCs w:val="20"/>
        </w:rPr>
        <w:t>s available to LHDs as a confirmatory treponemal screening test</w:t>
      </w:r>
    </w:p>
    <w:p w:rsidR="00A42259" w:rsidRPr="00A42259" w:rsidRDefault="00510708" w:rsidP="00A42259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B66C0">
        <w:rPr>
          <w:rFonts w:ascii="Arial" w:hAnsi="Arial" w:cs="Arial"/>
          <w:sz w:val="20"/>
          <w:szCs w:val="20"/>
        </w:rPr>
        <w:t xml:space="preserve"> TREP-SURE will be ru</w:t>
      </w:r>
      <w:r w:rsidR="00A42259" w:rsidRPr="00A42259">
        <w:rPr>
          <w:rFonts w:ascii="Arial" w:hAnsi="Arial" w:cs="Arial"/>
          <w:sz w:val="20"/>
          <w:szCs w:val="20"/>
        </w:rPr>
        <w:t xml:space="preserve">n automatically by the </w:t>
      </w:r>
      <w:proofErr w:type="spellStart"/>
      <w:r w:rsidR="00A42259" w:rsidRPr="00A42259">
        <w:rPr>
          <w:rFonts w:ascii="Arial" w:hAnsi="Arial" w:cs="Arial"/>
          <w:sz w:val="20"/>
          <w:szCs w:val="20"/>
        </w:rPr>
        <w:t>NCSLPH</w:t>
      </w:r>
      <w:proofErr w:type="spellEnd"/>
      <w:r w:rsidR="00A42259" w:rsidRPr="00A42259">
        <w:rPr>
          <w:rFonts w:ascii="Arial" w:hAnsi="Arial" w:cs="Arial"/>
          <w:sz w:val="20"/>
          <w:szCs w:val="20"/>
        </w:rPr>
        <w:t xml:space="preserve">, if the </w:t>
      </w:r>
      <w:proofErr w:type="spellStart"/>
      <w:r w:rsidR="00366D03">
        <w:rPr>
          <w:rFonts w:ascii="Arial" w:hAnsi="Arial" w:cs="Arial"/>
          <w:sz w:val="20"/>
          <w:szCs w:val="20"/>
        </w:rPr>
        <w:t>RPR</w:t>
      </w:r>
      <w:proofErr w:type="spellEnd"/>
      <w:r w:rsidR="00366D03">
        <w:rPr>
          <w:rFonts w:ascii="Arial" w:hAnsi="Arial" w:cs="Arial"/>
          <w:sz w:val="20"/>
          <w:szCs w:val="20"/>
        </w:rPr>
        <w:t xml:space="preserve"> </w:t>
      </w:r>
      <w:r w:rsidR="00A42259" w:rsidRPr="00A42259">
        <w:rPr>
          <w:rFonts w:ascii="Arial" w:hAnsi="Arial" w:cs="Arial"/>
          <w:sz w:val="20"/>
          <w:szCs w:val="20"/>
        </w:rPr>
        <w:t>is reactive</w:t>
      </w:r>
    </w:p>
    <w:p w:rsidR="000A6C89" w:rsidRPr="00A42259" w:rsidRDefault="00510708" w:rsidP="00A42259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42259" w:rsidRPr="00A42259">
        <w:rPr>
          <w:rFonts w:ascii="Arial" w:hAnsi="Arial" w:cs="Arial"/>
          <w:sz w:val="20"/>
          <w:szCs w:val="20"/>
        </w:rPr>
        <w:t xml:space="preserve"> TREP-SURE should be requested in addition to the </w:t>
      </w:r>
      <w:proofErr w:type="spellStart"/>
      <w:r w:rsidR="00366D03">
        <w:rPr>
          <w:rFonts w:ascii="Arial" w:hAnsi="Arial" w:cs="Arial"/>
          <w:sz w:val="20"/>
          <w:szCs w:val="20"/>
        </w:rPr>
        <w:t>RPR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A42259" w:rsidRPr="00A42259">
        <w:rPr>
          <w:rFonts w:ascii="Arial" w:hAnsi="Arial" w:cs="Arial"/>
          <w:sz w:val="20"/>
          <w:szCs w:val="20"/>
        </w:rPr>
        <w:t xml:space="preserve"> if the client is suspected by the DIS or other medical provider to have Latent, Late</w:t>
      </w:r>
      <w:r w:rsidR="00366D03">
        <w:rPr>
          <w:rFonts w:ascii="Arial" w:hAnsi="Arial" w:cs="Arial"/>
          <w:sz w:val="20"/>
          <w:szCs w:val="20"/>
        </w:rPr>
        <w:t xml:space="preserve"> Latent or</w:t>
      </w:r>
      <w:r w:rsidR="00A42259" w:rsidRPr="00A422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2259" w:rsidRPr="00A42259">
        <w:rPr>
          <w:rFonts w:ascii="Arial" w:hAnsi="Arial" w:cs="Arial"/>
          <w:sz w:val="20"/>
          <w:szCs w:val="20"/>
        </w:rPr>
        <w:t>Neurosyphilis</w:t>
      </w:r>
      <w:proofErr w:type="spellEnd"/>
      <w:r w:rsidR="00A42259" w:rsidRPr="00A42259">
        <w:rPr>
          <w:rFonts w:ascii="Arial" w:hAnsi="Arial" w:cs="Arial"/>
          <w:sz w:val="20"/>
          <w:szCs w:val="20"/>
        </w:rPr>
        <w:t>, Congenital, or CNS Involvement stage</w:t>
      </w:r>
      <w:r w:rsidR="00AC2896">
        <w:rPr>
          <w:rFonts w:ascii="Arial" w:hAnsi="Arial" w:cs="Arial"/>
          <w:sz w:val="20"/>
          <w:szCs w:val="20"/>
        </w:rPr>
        <w:t>s</w:t>
      </w:r>
      <w:r w:rsidR="00A42259" w:rsidRPr="00A42259">
        <w:rPr>
          <w:rFonts w:ascii="Arial" w:hAnsi="Arial" w:cs="Arial"/>
          <w:sz w:val="20"/>
          <w:szCs w:val="20"/>
        </w:rPr>
        <w:t xml:space="preserve"> of syphilis (see table below copied from </w:t>
      </w:r>
      <w:r w:rsidR="00366D03">
        <w:rPr>
          <w:rFonts w:ascii="Arial" w:hAnsi="Arial" w:cs="Arial"/>
          <w:sz w:val="20"/>
          <w:szCs w:val="20"/>
        </w:rPr>
        <w:t>2015</w:t>
      </w:r>
      <w:r w:rsidR="00A42259" w:rsidRPr="00A42259">
        <w:rPr>
          <w:rFonts w:ascii="Arial" w:hAnsi="Arial" w:cs="Arial"/>
          <w:sz w:val="20"/>
          <w:szCs w:val="20"/>
        </w:rPr>
        <w:t xml:space="preserve"> SCOPE manual pg. </w:t>
      </w:r>
      <w:r w:rsidR="00366D03">
        <w:rPr>
          <w:rFonts w:ascii="Arial" w:hAnsi="Arial" w:cs="Arial"/>
          <w:sz w:val="20"/>
          <w:szCs w:val="20"/>
        </w:rPr>
        <w:t>127</w:t>
      </w:r>
      <w:r w:rsidR="00A42259" w:rsidRPr="00A42259">
        <w:rPr>
          <w:rFonts w:ascii="Arial" w:hAnsi="Arial" w:cs="Arial"/>
          <w:sz w:val="20"/>
          <w:szCs w:val="20"/>
        </w:rPr>
        <w:t>)</w:t>
      </w:r>
    </w:p>
    <w:p w:rsidR="002452B4" w:rsidRDefault="002452B4" w:rsidP="009E3514">
      <w:pPr>
        <w:ind w:left="720"/>
        <w:rPr>
          <w:rFonts w:ascii="Arial" w:hAnsi="Arial" w:cs="Arial"/>
          <w:sz w:val="20"/>
          <w:szCs w:val="20"/>
        </w:rPr>
      </w:pPr>
    </w:p>
    <w:p w:rsidR="002452B4" w:rsidRPr="002452B4" w:rsidRDefault="00302D9D" w:rsidP="009E3514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1: </w:t>
      </w:r>
      <w:r w:rsidR="002452B4" w:rsidRPr="002452B4">
        <w:rPr>
          <w:rFonts w:ascii="Arial" w:hAnsi="Arial" w:cs="Arial"/>
          <w:b/>
          <w:sz w:val="22"/>
          <w:szCs w:val="22"/>
        </w:rPr>
        <w:t>Recommended Tests for the Different Stages of Syphilis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83"/>
        <w:gridCol w:w="2945"/>
        <w:gridCol w:w="2928"/>
      </w:tblGrid>
      <w:tr w:rsidR="004F037A" w:rsidRPr="002452B4" w:rsidTr="002452B4">
        <w:tc>
          <w:tcPr>
            <w:tcW w:w="2983" w:type="dxa"/>
          </w:tcPr>
          <w:p w:rsidR="004F037A" w:rsidRPr="002452B4" w:rsidRDefault="004F037A" w:rsidP="009E35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Disease Stage</w:t>
            </w:r>
          </w:p>
        </w:tc>
        <w:tc>
          <w:tcPr>
            <w:tcW w:w="2945" w:type="dxa"/>
          </w:tcPr>
          <w:p w:rsidR="004F037A" w:rsidRPr="002452B4" w:rsidRDefault="004F037A" w:rsidP="009E35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Specimen </w:t>
            </w:r>
          </w:p>
        </w:tc>
        <w:tc>
          <w:tcPr>
            <w:tcW w:w="2928" w:type="dxa"/>
          </w:tcPr>
          <w:p w:rsidR="004F037A" w:rsidRPr="002452B4" w:rsidRDefault="004F037A" w:rsidP="009E35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Test to Request </w:t>
            </w:r>
          </w:p>
        </w:tc>
      </w:tr>
      <w:tr w:rsidR="004F037A" w:rsidRPr="002452B4" w:rsidTr="002452B4">
        <w:tc>
          <w:tcPr>
            <w:tcW w:w="2983" w:type="dxa"/>
          </w:tcPr>
          <w:p w:rsidR="004F037A" w:rsidRPr="002452B4" w:rsidRDefault="004F037A" w:rsidP="009E3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Screening </w:t>
            </w:r>
          </w:p>
        </w:tc>
        <w:tc>
          <w:tcPr>
            <w:tcW w:w="2945" w:type="dxa"/>
          </w:tcPr>
          <w:p w:rsidR="004F037A" w:rsidRPr="002452B4" w:rsidRDefault="004F037A" w:rsidP="009E3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Serum </w:t>
            </w:r>
          </w:p>
        </w:tc>
        <w:tc>
          <w:tcPr>
            <w:tcW w:w="2928" w:type="dxa"/>
          </w:tcPr>
          <w:p w:rsidR="004F037A" w:rsidRPr="002452B4" w:rsidRDefault="004F037A" w:rsidP="009E35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RPR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B5DEE">
              <w:rPr>
                <w:rFonts w:ascii="Arial" w:hAnsi="Arial" w:cs="Arial"/>
                <w:sz w:val="20"/>
                <w:szCs w:val="20"/>
              </w:rPr>
              <w:t xml:space="preserve"> or TRUST</w:t>
            </w:r>
          </w:p>
        </w:tc>
      </w:tr>
      <w:tr w:rsidR="004F037A" w:rsidRPr="002452B4" w:rsidTr="002452B4">
        <w:tc>
          <w:tcPr>
            <w:tcW w:w="2983" w:type="dxa"/>
          </w:tcPr>
          <w:p w:rsidR="004F037A" w:rsidRPr="002452B4" w:rsidRDefault="004F037A" w:rsidP="009E3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Primary </w:t>
            </w:r>
          </w:p>
        </w:tc>
        <w:tc>
          <w:tcPr>
            <w:tcW w:w="2945" w:type="dxa"/>
          </w:tcPr>
          <w:p w:rsidR="004F037A" w:rsidRPr="002452B4" w:rsidRDefault="004F0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Serum </w:t>
            </w:r>
          </w:p>
        </w:tc>
        <w:tc>
          <w:tcPr>
            <w:tcW w:w="2928" w:type="dxa"/>
          </w:tcPr>
          <w:p w:rsidR="004F037A" w:rsidRPr="002452B4" w:rsidRDefault="004F03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RPR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00BA8">
              <w:rPr>
                <w:rFonts w:ascii="Arial" w:hAnsi="Arial" w:cs="Arial"/>
                <w:sz w:val="20"/>
                <w:szCs w:val="20"/>
              </w:rPr>
              <w:t xml:space="preserve"> or TRUST</w:t>
            </w:r>
          </w:p>
        </w:tc>
      </w:tr>
      <w:tr w:rsidR="004F037A" w:rsidRPr="002452B4" w:rsidTr="002452B4">
        <w:tc>
          <w:tcPr>
            <w:tcW w:w="2983" w:type="dxa"/>
          </w:tcPr>
          <w:p w:rsidR="004F037A" w:rsidRPr="002452B4" w:rsidRDefault="004F037A" w:rsidP="009E3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Secondary </w:t>
            </w:r>
          </w:p>
        </w:tc>
        <w:tc>
          <w:tcPr>
            <w:tcW w:w="2945" w:type="dxa"/>
          </w:tcPr>
          <w:p w:rsidR="004F037A" w:rsidRPr="002452B4" w:rsidRDefault="004F0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Serum </w:t>
            </w:r>
          </w:p>
        </w:tc>
        <w:tc>
          <w:tcPr>
            <w:tcW w:w="2928" w:type="dxa"/>
          </w:tcPr>
          <w:p w:rsidR="004F037A" w:rsidRPr="002452B4" w:rsidRDefault="004F03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RPR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00BA8">
              <w:rPr>
                <w:rFonts w:ascii="Arial" w:hAnsi="Arial" w:cs="Arial"/>
                <w:sz w:val="20"/>
                <w:szCs w:val="20"/>
              </w:rPr>
              <w:t xml:space="preserve"> or TRUST</w:t>
            </w:r>
          </w:p>
        </w:tc>
      </w:tr>
      <w:tr w:rsidR="004F037A" w:rsidRPr="002452B4" w:rsidTr="002452B4">
        <w:tc>
          <w:tcPr>
            <w:tcW w:w="2983" w:type="dxa"/>
          </w:tcPr>
          <w:p w:rsidR="004F037A" w:rsidRPr="002452B4" w:rsidRDefault="004F037A" w:rsidP="009E3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Latent </w:t>
            </w:r>
          </w:p>
        </w:tc>
        <w:tc>
          <w:tcPr>
            <w:tcW w:w="2945" w:type="dxa"/>
          </w:tcPr>
          <w:p w:rsidR="004F037A" w:rsidRPr="002452B4" w:rsidRDefault="004F0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Serum </w:t>
            </w:r>
          </w:p>
        </w:tc>
        <w:tc>
          <w:tcPr>
            <w:tcW w:w="2928" w:type="dxa"/>
          </w:tcPr>
          <w:p w:rsidR="004F037A" w:rsidRPr="002452B4" w:rsidRDefault="004F03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RPR</w:t>
            </w:r>
            <w:proofErr w:type="spellEnd"/>
            <w:r w:rsidR="00AC2DCC">
              <w:rPr>
                <w:sz w:val="22"/>
                <w:szCs w:val="22"/>
              </w:rPr>
              <w:t xml:space="preserve"> </w:t>
            </w:r>
            <w:r w:rsidR="00C00BA8">
              <w:rPr>
                <w:sz w:val="22"/>
                <w:szCs w:val="22"/>
              </w:rPr>
              <w:t>or TRUST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TREP</w:t>
            </w:r>
            <w:proofErr w:type="spellEnd"/>
            <w:r>
              <w:rPr>
                <w:sz w:val="22"/>
                <w:szCs w:val="22"/>
              </w:rPr>
              <w:t xml:space="preserve">-SURE </w:t>
            </w:r>
          </w:p>
        </w:tc>
      </w:tr>
      <w:tr w:rsidR="004F037A" w:rsidRPr="002452B4" w:rsidTr="002452B4">
        <w:tc>
          <w:tcPr>
            <w:tcW w:w="2983" w:type="dxa"/>
          </w:tcPr>
          <w:p w:rsidR="004F037A" w:rsidRPr="002452B4" w:rsidRDefault="004F037A" w:rsidP="009E3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Late </w:t>
            </w:r>
            <w:proofErr w:type="spellStart"/>
            <w:r>
              <w:rPr>
                <w:sz w:val="22"/>
                <w:szCs w:val="22"/>
              </w:rPr>
              <w:t>Neurosyphilis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5" w:type="dxa"/>
          </w:tcPr>
          <w:p w:rsidR="004F037A" w:rsidRPr="002452B4" w:rsidRDefault="004F0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Serum </w:t>
            </w:r>
          </w:p>
        </w:tc>
        <w:tc>
          <w:tcPr>
            <w:tcW w:w="2928" w:type="dxa"/>
          </w:tcPr>
          <w:p w:rsidR="004F037A" w:rsidRPr="002452B4" w:rsidRDefault="004F03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RPR</w:t>
            </w:r>
            <w:proofErr w:type="spellEnd"/>
            <w:r w:rsidR="00C00BA8">
              <w:rPr>
                <w:sz w:val="22"/>
                <w:szCs w:val="22"/>
              </w:rPr>
              <w:t xml:space="preserve"> or TRUST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TREP</w:t>
            </w:r>
            <w:proofErr w:type="spellEnd"/>
            <w:r>
              <w:rPr>
                <w:sz w:val="22"/>
                <w:szCs w:val="22"/>
              </w:rPr>
              <w:t xml:space="preserve">-SURE </w:t>
            </w:r>
          </w:p>
        </w:tc>
      </w:tr>
      <w:tr w:rsidR="004F037A" w:rsidRPr="002452B4" w:rsidTr="002452B4">
        <w:trPr>
          <w:trHeight w:val="332"/>
        </w:trPr>
        <w:tc>
          <w:tcPr>
            <w:tcW w:w="2983" w:type="dxa"/>
          </w:tcPr>
          <w:p w:rsidR="004F037A" w:rsidRPr="002452B4" w:rsidRDefault="004F037A" w:rsidP="00A422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Congenital CNS Involvement </w:t>
            </w:r>
          </w:p>
        </w:tc>
        <w:tc>
          <w:tcPr>
            <w:tcW w:w="2945" w:type="dxa"/>
          </w:tcPr>
          <w:p w:rsidR="004F037A" w:rsidRPr="002452B4" w:rsidRDefault="004F0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Serum </w:t>
            </w:r>
          </w:p>
        </w:tc>
        <w:tc>
          <w:tcPr>
            <w:tcW w:w="2928" w:type="dxa"/>
          </w:tcPr>
          <w:p w:rsidR="004F037A" w:rsidRPr="002452B4" w:rsidRDefault="004F03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RPR</w:t>
            </w:r>
            <w:r w:rsidR="00C00BA8">
              <w:rPr>
                <w:sz w:val="22"/>
                <w:szCs w:val="22"/>
              </w:rPr>
              <w:t>or</w:t>
            </w:r>
            <w:proofErr w:type="spellEnd"/>
            <w:r w:rsidR="00C00BA8">
              <w:rPr>
                <w:sz w:val="22"/>
                <w:szCs w:val="22"/>
              </w:rPr>
              <w:t xml:space="preserve"> TRUST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TREP</w:t>
            </w:r>
            <w:proofErr w:type="spellEnd"/>
            <w:r>
              <w:rPr>
                <w:sz w:val="22"/>
                <w:szCs w:val="22"/>
              </w:rPr>
              <w:t xml:space="preserve">-SURE </w:t>
            </w:r>
          </w:p>
        </w:tc>
      </w:tr>
    </w:tbl>
    <w:p w:rsidR="00366D03" w:rsidRPr="00AC2DCC" w:rsidRDefault="0009635F" w:rsidP="00A42259">
      <w:pPr>
        <w:ind w:left="630" w:hanging="270"/>
        <w:rPr>
          <w:rFonts w:ascii="Arial" w:hAnsi="Arial" w:cs="Arial"/>
          <w:b/>
          <w:sz w:val="20"/>
          <w:szCs w:val="20"/>
        </w:rPr>
      </w:pPr>
      <w:r w:rsidRPr="00AC2DCC">
        <w:rPr>
          <w:rFonts w:ascii="Arial" w:hAnsi="Arial" w:cs="Arial"/>
          <w:b/>
          <w:sz w:val="20"/>
          <w:szCs w:val="20"/>
        </w:rPr>
        <w:t xml:space="preserve">    </w:t>
      </w:r>
    </w:p>
    <w:p w:rsidR="00F13C24" w:rsidRPr="00AC2DCC" w:rsidRDefault="00F13C24" w:rsidP="00F13C24">
      <w:pPr>
        <w:ind w:left="630" w:hanging="270"/>
        <w:rPr>
          <w:rFonts w:ascii="Arial" w:hAnsi="Arial" w:cs="Arial"/>
          <w:b/>
          <w:sz w:val="20"/>
          <w:szCs w:val="20"/>
        </w:rPr>
      </w:pPr>
      <w:proofErr w:type="spellStart"/>
      <w:r w:rsidRPr="00AC2DCC">
        <w:rPr>
          <w:rFonts w:ascii="Arial" w:hAnsi="Arial" w:cs="Arial"/>
          <w:b/>
          <w:sz w:val="20"/>
          <w:szCs w:val="20"/>
        </w:rPr>
        <w:t>Prozone</w:t>
      </w:r>
      <w:proofErr w:type="spellEnd"/>
      <w:r w:rsidRPr="00AC2DCC">
        <w:rPr>
          <w:rFonts w:ascii="Arial" w:hAnsi="Arial" w:cs="Arial"/>
          <w:b/>
          <w:sz w:val="20"/>
          <w:szCs w:val="20"/>
        </w:rPr>
        <w:t xml:space="preserve"> Phenomenon: </w:t>
      </w:r>
    </w:p>
    <w:p w:rsidR="00F13C24" w:rsidRPr="00AC2DCC" w:rsidRDefault="00F13C24" w:rsidP="00AC2DCC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AC2DCC">
        <w:rPr>
          <w:rFonts w:ascii="Arial" w:hAnsi="Arial" w:cs="Arial"/>
          <w:sz w:val="20"/>
          <w:szCs w:val="20"/>
        </w:rPr>
        <w:t>Up to 2% of clients</w:t>
      </w:r>
      <w:r w:rsidR="00036662">
        <w:rPr>
          <w:rFonts w:ascii="Arial" w:hAnsi="Arial" w:cs="Arial"/>
          <w:sz w:val="20"/>
          <w:szCs w:val="20"/>
        </w:rPr>
        <w:t xml:space="preserve"> who present</w:t>
      </w:r>
      <w:r w:rsidRPr="00AC2DCC">
        <w:rPr>
          <w:rFonts w:ascii="Arial" w:hAnsi="Arial" w:cs="Arial"/>
          <w:sz w:val="20"/>
          <w:szCs w:val="20"/>
        </w:rPr>
        <w:t xml:space="preserve"> with classic </w:t>
      </w:r>
      <w:r w:rsidR="00036662">
        <w:rPr>
          <w:rFonts w:ascii="Arial" w:hAnsi="Arial" w:cs="Arial"/>
          <w:sz w:val="20"/>
          <w:szCs w:val="20"/>
        </w:rPr>
        <w:t xml:space="preserve">symptoms of </w:t>
      </w:r>
      <w:r w:rsidRPr="00AC2DCC">
        <w:rPr>
          <w:rFonts w:ascii="Arial" w:hAnsi="Arial" w:cs="Arial"/>
          <w:sz w:val="20"/>
          <w:szCs w:val="20"/>
        </w:rPr>
        <w:t xml:space="preserve">secondary syphilis </w:t>
      </w:r>
      <w:r w:rsidR="00036662">
        <w:rPr>
          <w:rFonts w:ascii="Arial" w:hAnsi="Arial" w:cs="Arial"/>
          <w:sz w:val="20"/>
          <w:szCs w:val="20"/>
        </w:rPr>
        <w:t>may</w:t>
      </w:r>
      <w:r w:rsidRPr="00AC2DCC">
        <w:rPr>
          <w:rFonts w:ascii="Arial" w:hAnsi="Arial" w:cs="Arial"/>
          <w:sz w:val="20"/>
          <w:szCs w:val="20"/>
        </w:rPr>
        <w:t xml:space="preserve"> have a negative RPR due to the production of excessive antibodies. For these clients please note “Other” in Section 9 of the form (Reason for Testing) on the </w:t>
      </w:r>
      <w:r>
        <w:rPr>
          <w:rFonts w:ascii="Arial" w:hAnsi="Arial" w:cs="Arial"/>
          <w:sz w:val="20"/>
          <w:szCs w:val="20"/>
        </w:rPr>
        <w:t>NC</w:t>
      </w:r>
      <w:r w:rsidRPr="00AC2DCC">
        <w:rPr>
          <w:rFonts w:ascii="Arial" w:hAnsi="Arial" w:cs="Arial"/>
          <w:sz w:val="20"/>
          <w:szCs w:val="20"/>
        </w:rPr>
        <w:t xml:space="preserve">SLPH requisition form DHHS #3446 </w:t>
      </w:r>
      <w:r w:rsidRPr="00AC2DCC">
        <w:rPr>
          <w:rFonts w:ascii="Arial" w:hAnsi="Arial" w:cs="Arial"/>
          <w:b/>
          <w:sz w:val="20"/>
          <w:szCs w:val="20"/>
        </w:rPr>
        <w:t xml:space="preserve">“patient has classic secondary syphilis symptoms so if the patient’s “RPR is negative, please dilute and rerun to rule out the </w:t>
      </w:r>
      <w:proofErr w:type="spellStart"/>
      <w:r w:rsidRPr="00AC2DCC">
        <w:rPr>
          <w:rFonts w:ascii="Arial" w:hAnsi="Arial" w:cs="Arial"/>
          <w:b/>
          <w:sz w:val="20"/>
          <w:szCs w:val="20"/>
        </w:rPr>
        <w:t>prozone</w:t>
      </w:r>
      <w:proofErr w:type="spellEnd"/>
      <w:r w:rsidRPr="00AC2DCC">
        <w:rPr>
          <w:rFonts w:ascii="Arial" w:hAnsi="Arial" w:cs="Arial"/>
          <w:b/>
          <w:sz w:val="20"/>
          <w:szCs w:val="20"/>
        </w:rPr>
        <w:t xml:space="preserve"> phenomenon”</w:t>
      </w:r>
    </w:p>
    <w:p w:rsidR="00366D03" w:rsidRPr="00AC2DCC" w:rsidRDefault="00F13C24" w:rsidP="00AC2DCC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AC2DCC">
        <w:rPr>
          <w:rFonts w:ascii="Arial" w:hAnsi="Arial" w:cs="Arial"/>
          <w:sz w:val="20"/>
          <w:szCs w:val="20"/>
        </w:rPr>
        <w:lastRenderedPageBreak/>
        <w:t>Failure to supply the requested patient information may result in significantly delayed specimen testing.</w:t>
      </w:r>
    </w:p>
    <w:p w:rsidR="00366D03" w:rsidRDefault="00366D03" w:rsidP="00A42259">
      <w:pPr>
        <w:ind w:left="630" w:hanging="270"/>
        <w:rPr>
          <w:rFonts w:ascii="Arial" w:hAnsi="Arial" w:cs="Arial"/>
          <w:sz w:val="20"/>
          <w:szCs w:val="20"/>
        </w:rPr>
      </w:pPr>
    </w:p>
    <w:p w:rsidR="00832ED6" w:rsidRDefault="00443DF0" w:rsidP="00832ED6">
      <w:pPr>
        <w:ind w:left="360"/>
        <w:rPr>
          <w:rFonts w:ascii="Arial" w:hAnsi="Arial" w:cs="Arial"/>
          <w:sz w:val="20"/>
          <w:szCs w:val="20"/>
        </w:rPr>
      </w:pPr>
      <w:r w:rsidRPr="008D188B">
        <w:rPr>
          <w:rFonts w:ascii="Arial" w:hAnsi="Arial" w:cs="Arial"/>
          <w:sz w:val="20"/>
          <w:szCs w:val="20"/>
        </w:rPr>
        <w:t>Interpretation</w:t>
      </w:r>
      <w:r w:rsidR="00954676">
        <w:rPr>
          <w:rFonts w:ascii="Arial" w:hAnsi="Arial" w:cs="Arial"/>
          <w:sz w:val="20"/>
          <w:szCs w:val="20"/>
        </w:rPr>
        <w:t xml:space="preserve"> of</w:t>
      </w:r>
      <w:r w:rsidR="004F0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037A">
        <w:rPr>
          <w:rFonts w:ascii="Arial" w:hAnsi="Arial" w:cs="Arial"/>
          <w:sz w:val="20"/>
          <w:szCs w:val="20"/>
        </w:rPr>
        <w:t>RPR</w:t>
      </w:r>
      <w:proofErr w:type="spellEnd"/>
      <w:r w:rsidR="00A42259">
        <w:rPr>
          <w:rFonts w:ascii="Arial" w:hAnsi="Arial" w:cs="Arial"/>
          <w:sz w:val="20"/>
          <w:szCs w:val="20"/>
        </w:rPr>
        <w:t xml:space="preserve"> and/or </w:t>
      </w:r>
      <w:proofErr w:type="spellStart"/>
      <w:r w:rsidR="00A42259">
        <w:rPr>
          <w:rFonts w:ascii="Arial" w:hAnsi="Arial" w:cs="Arial"/>
          <w:sz w:val="20"/>
          <w:szCs w:val="20"/>
        </w:rPr>
        <w:t>TREP</w:t>
      </w:r>
      <w:proofErr w:type="spellEnd"/>
      <w:r w:rsidR="00A42259">
        <w:rPr>
          <w:rFonts w:ascii="Arial" w:hAnsi="Arial" w:cs="Arial"/>
          <w:sz w:val="20"/>
          <w:szCs w:val="20"/>
        </w:rPr>
        <w:t>-SURE</w:t>
      </w:r>
      <w:r w:rsidR="00954676">
        <w:rPr>
          <w:rFonts w:ascii="Arial" w:hAnsi="Arial" w:cs="Arial"/>
          <w:sz w:val="20"/>
          <w:szCs w:val="20"/>
        </w:rPr>
        <w:t xml:space="preserve"> Lab Findings</w:t>
      </w:r>
      <w:r w:rsidR="00A827CD">
        <w:rPr>
          <w:rFonts w:ascii="Arial" w:hAnsi="Arial" w:cs="Arial"/>
          <w:sz w:val="20"/>
          <w:szCs w:val="20"/>
        </w:rPr>
        <w:t xml:space="preserve"> used </w:t>
      </w:r>
      <w:r w:rsidR="004F037A">
        <w:rPr>
          <w:rFonts w:ascii="Arial" w:hAnsi="Arial" w:cs="Arial"/>
          <w:sz w:val="20"/>
          <w:szCs w:val="20"/>
        </w:rPr>
        <w:t>b</w:t>
      </w:r>
      <w:r w:rsidR="00A827CD">
        <w:rPr>
          <w:rFonts w:ascii="Arial" w:hAnsi="Arial" w:cs="Arial"/>
          <w:sz w:val="20"/>
          <w:szCs w:val="20"/>
        </w:rPr>
        <w:t xml:space="preserve">y </w:t>
      </w:r>
      <w:proofErr w:type="spellStart"/>
      <w:r w:rsidR="00A827CD">
        <w:rPr>
          <w:rFonts w:ascii="Arial" w:hAnsi="Arial" w:cs="Arial"/>
          <w:sz w:val="20"/>
          <w:szCs w:val="20"/>
        </w:rPr>
        <w:t>NCSLPH</w:t>
      </w:r>
      <w:proofErr w:type="spellEnd"/>
      <w:r w:rsidR="00A827CD">
        <w:rPr>
          <w:rFonts w:ascii="Arial" w:hAnsi="Arial" w:cs="Arial"/>
          <w:sz w:val="20"/>
          <w:szCs w:val="20"/>
        </w:rPr>
        <w:t xml:space="preserve"> (</w:t>
      </w:r>
      <w:r w:rsidR="00A42259">
        <w:rPr>
          <w:rFonts w:ascii="Arial" w:hAnsi="Arial" w:cs="Arial"/>
          <w:sz w:val="20"/>
          <w:szCs w:val="20"/>
        </w:rPr>
        <w:t>201</w:t>
      </w:r>
      <w:r w:rsidR="004F037A">
        <w:rPr>
          <w:rFonts w:ascii="Arial" w:hAnsi="Arial" w:cs="Arial"/>
          <w:sz w:val="20"/>
          <w:szCs w:val="20"/>
        </w:rPr>
        <w:t>5</w:t>
      </w:r>
      <w:r w:rsidR="00A42259">
        <w:rPr>
          <w:rFonts w:ascii="Arial" w:hAnsi="Arial" w:cs="Arial"/>
          <w:sz w:val="20"/>
          <w:szCs w:val="20"/>
        </w:rPr>
        <w:t xml:space="preserve"> </w:t>
      </w:r>
      <w:r w:rsidR="00A827CD">
        <w:rPr>
          <w:rFonts w:ascii="Arial" w:hAnsi="Arial" w:cs="Arial"/>
          <w:sz w:val="20"/>
          <w:szCs w:val="20"/>
        </w:rPr>
        <w:t xml:space="preserve">SCOPE </w:t>
      </w:r>
      <w:r w:rsidR="00A42259">
        <w:rPr>
          <w:rFonts w:ascii="Arial" w:hAnsi="Arial" w:cs="Arial"/>
          <w:sz w:val="20"/>
          <w:szCs w:val="20"/>
        </w:rPr>
        <w:t xml:space="preserve">manual </w:t>
      </w:r>
    </w:p>
    <w:p w:rsidR="001C3439" w:rsidRDefault="00A827CD" w:rsidP="00832ED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pg.</w:t>
      </w:r>
      <w:r w:rsidR="00366D03">
        <w:rPr>
          <w:rFonts w:ascii="Arial" w:hAnsi="Arial" w:cs="Arial"/>
          <w:sz w:val="20"/>
          <w:szCs w:val="20"/>
        </w:rPr>
        <w:t xml:space="preserve"> 129</w:t>
      </w:r>
      <w:r>
        <w:rPr>
          <w:rFonts w:ascii="Arial" w:hAnsi="Arial" w:cs="Arial"/>
          <w:sz w:val="20"/>
          <w:szCs w:val="20"/>
        </w:rPr>
        <w:t>)</w:t>
      </w:r>
    </w:p>
    <w:p w:rsidR="00C3795A" w:rsidRPr="00302D9D" w:rsidRDefault="00302D9D" w:rsidP="00302D9D">
      <w:pPr>
        <w:ind w:left="810"/>
        <w:rPr>
          <w:rFonts w:ascii="Arial" w:hAnsi="Arial" w:cs="Arial"/>
          <w:b/>
          <w:sz w:val="22"/>
          <w:szCs w:val="22"/>
        </w:rPr>
      </w:pPr>
      <w:r w:rsidRPr="00302D9D">
        <w:rPr>
          <w:rFonts w:ascii="Arial" w:hAnsi="Arial" w:cs="Arial"/>
          <w:b/>
          <w:sz w:val="22"/>
          <w:szCs w:val="22"/>
        </w:rPr>
        <w:t xml:space="preserve">Table 2: </w:t>
      </w:r>
      <w:proofErr w:type="spellStart"/>
      <w:r w:rsidR="004F037A">
        <w:rPr>
          <w:rFonts w:ascii="Arial" w:hAnsi="Arial" w:cs="Arial"/>
          <w:b/>
          <w:sz w:val="22"/>
          <w:szCs w:val="22"/>
        </w:rPr>
        <w:t>RPR</w:t>
      </w:r>
      <w:proofErr w:type="spellEnd"/>
      <w:r w:rsidRPr="00302D9D">
        <w:rPr>
          <w:rFonts w:ascii="Arial" w:hAnsi="Arial" w:cs="Arial"/>
          <w:b/>
          <w:sz w:val="22"/>
          <w:szCs w:val="22"/>
        </w:rPr>
        <w:t xml:space="preserve"> &amp; </w:t>
      </w:r>
      <w:proofErr w:type="spellStart"/>
      <w:r w:rsidRPr="00302D9D">
        <w:rPr>
          <w:rFonts w:ascii="Arial" w:hAnsi="Arial" w:cs="Arial"/>
          <w:b/>
          <w:sz w:val="22"/>
          <w:szCs w:val="22"/>
        </w:rPr>
        <w:t>TREP</w:t>
      </w:r>
      <w:proofErr w:type="spellEnd"/>
      <w:r w:rsidRPr="00302D9D">
        <w:rPr>
          <w:rFonts w:ascii="Arial" w:hAnsi="Arial" w:cs="Arial"/>
          <w:b/>
          <w:sz w:val="22"/>
          <w:szCs w:val="22"/>
        </w:rPr>
        <w:t xml:space="preserve">-SURE Interpretations: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683"/>
        <w:gridCol w:w="3061"/>
        <w:gridCol w:w="3094"/>
      </w:tblGrid>
      <w:tr w:rsidR="00C3795A" w:rsidTr="00302D9D">
        <w:tc>
          <w:tcPr>
            <w:tcW w:w="2683" w:type="dxa"/>
          </w:tcPr>
          <w:p w:rsidR="00C3795A" w:rsidRPr="00C3795A" w:rsidRDefault="004F037A" w:rsidP="00443DF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RPR</w:t>
            </w:r>
            <w:proofErr w:type="spellEnd"/>
            <w:r w:rsidRPr="00C379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795A" w:rsidRPr="00C3795A">
              <w:rPr>
                <w:rFonts w:ascii="Arial" w:hAnsi="Arial" w:cs="Arial"/>
                <w:b/>
                <w:sz w:val="20"/>
                <w:szCs w:val="20"/>
              </w:rPr>
              <w:t>Results</w:t>
            </w:r>
          </w:p>
        </w:tc>
        <w:tc>
          <w:tcPr>
            <w:tcW w:w="3061" w:type="dxa"/>
          </w:tcPr>
          <w:p w:rsidR="00C3795A" w:rsidRPr="00C3795A" w:rsidRDefault="00C3795A" w:rsidP="00443D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795A">
              <w:rPr>
                <w:rFonts w:ascii="Arial" w:hAnsi="Arial" w:cs="Arial"/>
                <w:b/>
                <w:sz w:val="20"/>
                <w:szCs w:val="20"/>
              </w:rPr>
              <w:t>TREP-SURE Results</w:t>
            </w:r>
          </w:p>
        </w:tc>
        <w:tc>
          <w:tcPr>
            <w:tcW w:w="3094" w:type="dxa"/>
          </w:tcPr>
          <w:p w:rsidR="00C3795A" w:rsidRPr="00C3795A" w:rsidRDefault="00C3795A" w:rsidP="00443D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795A">
              <w:rPr>
                <w:rFonts w:ascii="Arial" w:hAnsi="Arial" w:cs="Arial"/>
                <w:b/>
                <w:sz w:val="20"/>
                <w:szCs w:val="20"/>
              </w:rPr>
              <w:t>Interpretation</w:t>
            </w:r>
          </w:p>
        </w:tc>
      </w:tr>
      <w:tr w:rsidR="00C3795A" w:rsidTr="00302D9D">
        <w:tc>
          <w:tcPr>
            <w:tcW w:w="2683" w:type="dxa"/>
          </w:tcPr>
          <w:p w:rsidR="00C3795A" w:rsidRDefault="00C3795A" w:rsidP="00443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Reactive</w:t>
            </w:r>
          </w:p>
        </w:tc>
        <w:tc>
          <w:tcPr>
            <w:tcW w:w="3061" w:type="dxa"/>
          </w:tcPr>
          <w:p w:rsidR="00C3795A" w:rsidRDefault="00C3795A" w:rsidP="00443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3094" w:type="dxa"/>
          </w:tcPr>
          <w:p w:rsidR="00C3795A" w:rsidRDefault="00C3795A" w:rsidP="00443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Usually indicates syphilis.</w:t>
            </w:r>
          </w:p>
        </w:tc>
      </w:tr>
      <w:tr w:rsidR="00C3795A" w:rsidTr="00302D9D">
        <w:tc>
          <w:tcPr>
            <w:tcW w:w="2683" w:type="dxa"/>
          </w:tcPr>
          <w:p w:rsidR="00C3795A" w:rsidRDefault="00C3795A" w:rsidP="00443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Reactive</w:t>
            </w:r>
          </w:p>
        </w:tc>
        <w:tc>
          <w:tcPr>
            <w:tcW w:w="3061" w:type="dxa"/>
          </w:tcPr>
          <w:p w:rsidR="00C3795A" w:rsidRDefault="00C3795A" w:rsidP="00443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3094" w:type="dxa"/>
          </w:tcPr>
          <w:p w:rsidR="00C3795A" w:rsidRDefault="00C3795A" w:rsidP="00C379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“Biologic False Positive” reaction in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</w:rPr>
              <w:t>reagin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tests may be caused by infection, immunizations, inflammatory</w:t>
            </w:r>
          </w:p>
          <w:p w:rsidR="00C3795A" w:rsidRDefault="00C3795A" w:rsidP="00C379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</w:rPr>
              <w:t>disease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</w:rPr>
              <w:t xml:space="preserve">, immunity </w:t>
            </w:r>
            <w:r w:rsidR="00A827CD">
              <w:rPr>
                <w:rFonts w:ascii="Arial" w:eastAsiaTheme="minorHAnsi" w:hAnsi="Arial" w:cs="Arial"/>
                <w:sz w:val="20"/>
                <w:szCs w:val="20"/>
              </w:rPr>
              <w:t>a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bnormalities, drug</w:t>
            </w:r>
            <w:r w:rsidR="00A827CD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addiction, pregnancy, or aging. Tests</w:t>
            </w:r>
          </w:p>
          <w:p w:rsidR="00C3795A" w:rsidRDefault="00C3795A" w:rsidP="00C379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20"/>
              </w:rPr>
              <w:t>should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be repeated on a follow-up</w:t>
            </w:r>
            <w:r w:rsidR="00A827CD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specimen if doubt exists.</w:t>
            </w:r>
          </w:p>
          <w:p w:rsidR="00C3795A" w:rsidRDefault="00C3795A" w:rsidP="00C379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95A" w:rsidTr="00302D9D">
        <w:tc>
          <w:tcPr>
            <w:tcW w:w="2683" w:type="dxa"/>
          </w:tcPr>
          <w:p w:rsidR="00C3795A" w:rsidRDefault="00C3795A" w:rsidP="00443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Non-Reactive</w:t>
            </w:r>
          </w:p>
        </w:tc>
        <w:tc>
          <w:tcPr>
            <w:tcW w:w="3061" w:type="dxa"/>
          </w:tcPr>
          <w:p w:rsidR="00C3795A" w:rsidRDefault="00C3795A" w:rsidP="00443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Done</w:t>
            </w:r>
          </w:p>
        </w:tc>
        <w:tc>
          <w:tcPr>
            <w:tcW w:w="3094" w:type="dxa"/>
          </w:tcPr>
          <w:p w:rsidR="00A827CD" w:rsidRDefault="00A827CD" w:rsidP="00A827C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Treponemal tests </w:t>
            </w:r>
            <w:proofErr w:type="gramStart"/>
            <w:r>
              <w:rPr>
                <w:rFonts w:ascii="Arial" w:eastAsiaTheme="minorHAnsi" w:hAnsi="Arial" w:cs="Arial"/>
                <w:sz w:val="20"/>
                <w:szCs w:val="20"/>
              </w:rPr>
              <w:t>are not indicated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unless late syphilis is suspected according to clinical data.</w:t>
            </w:r>
          </w:p>
          <w:p w:rsidR="00F13C24" w:rsidRDefault="00832ED6" w:rsidP="00A827C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“</w:t>
            </w:r>
            <w:r w:rsidR="00F13C24" w:rsidRPr="00F13C24">
              <w:rPr>
                <w:rFonts w:ascii="Arial" w:eastAsiaTheme="minorHAnsi" w:hAnsi="Arial" w:cs="Arial"/>
                <w:sz w:val="20"/>
                <w:szCs w:val="20"/>
              </w:rPr>
              <w:t xml:space="preserve">Up to 30% of primary syphilis cases can have a negative </w:t>
            </w:r>
            <w:proofErr w:type="spellStart"/>
            <w:r w:rsidR="00F13C24" w:rsidRPr="00F13C24">
              <w:rPr>
                <w:rFonts w:ascii="Arial" w:eastAsiaTheme="minorHAnsi" w:hAnsi="Arial" w:cs="Arial"/>
                <w:sz w:val="20"/>
                <w:szCs w:val="20"/>
              </w:rPr>
              <w:t>RPR</w:t>
            </w:r>
            <w:proofErr w:type="spellEnd"/>
            <w:r w:rsidR="00F13C24" w:rsidRPr="00F13C24">
              <w:rPr>
                <w:rFonts w:ascii="Arial" w:eastAsiaTheme="minorHAnsi" w:hAnsi="Arial" w:cs="Arial"/>
                <w:sz w:val="20"/>
                <w:szCs w:val="20"/>
              </w:rPr>
              <w:t xml:space="preserve">, so if patient has s/s of primary syphilis, </w:t>
            </w:r>
            <w:proofErr w:type="spellStart"/>
            <w:r w:rsidR="00F13C24" w:rsidRPr="00F13C24">
              <w:rPr>
                <w:rFonts w:ascii="Arial" w:eastAsiaTheme="minorHAnsi" w:hAnsi="Arial" w:cs="Arial"/>
                <w:sz w:val="20"/>
                <w:szCs w:val="20"/>
              </w:rPr>
              <w:t>RPR</w:t>
            </w:r>
            <w:proofErr w:type="spellEnd"/>
            <w:r w:rsidR="00F13C24" w:rsidRPr="00F13C24">
              <w:rPr>
                <w:rFonts w:ascii="Arial" w:eastAsiaTheme="minorHAnsi" w:hAnsi="Arial" w:cs="Arial"/>
                <w:sz w:val="20"/>
                <w:szCs w:val="20"/>
              </w:rPr>
              <w:t xml:space="preserve"> should be repeated in 2-4 weeks and patient should be empirically treated</w:t>
            </w:r>
            <w:r w:rsidR="00F13C24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” </w:t>
            </w:r>
          </w:p>
          <w:p w:rsidR="00C3795A" w:rsidRDefault="00C3795A" w:rsidP="00A827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95A" w:rsidTr="00302D9D">
        <w:tc>
          <w:tcPr>
            <w:tcW w:w="2683" w:type="dxa"/>
          </w:tcPr>
          <w:p w:rsidR="00C3795A" w:rsidRDefault="00C3795A" w:rsidP="00443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Non-Reactive</w:t>
            </w:r>
          </w:p>
        </w:tc>
        <w:tc>
          <w:tcPr>
            <w:tcW w:w="3061" w:type="dxa"/>
          </w:tcPr>
          <w:p w:rsidR="00C3795A" w:rsidRDefault="00C3795A" w:rsidP="00443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3094" w:type="dxa"/>
          </w:tcPr>
          <w:p w:rsidR="00C3795A" w:rsidRDefault="00A827CD" w:rsidP="00A827C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Usually indicates previously treated syphilis or late syphilis (untreated).</w:t>
            </w:r>
          </w:p>
        </w:tc>
      </w:tr>
    </w:tbl>
    <w:p w:rsidR="00D64304" w:rsidRDefault="00D64304" w:rsidP="00443DF0">
      <w:pPr>
        <w:ind w:left="360"/>
        <w:rPr>
          <w:rFonts w:ascii="Arial" w:hAnsi="Arial" w:cs="Arial"/>
          <w:sz w:val="20"/>
          <w:szCs w:val="20"/>
        </w:rPr>
      </w:pPr>
    </w:p>
    <w:p w:rsidR="009C1AA0" w:rsidRPr="00BF2F4C" w:rsidRDefault="00BF2F4C" w:rsidP="00135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C1AA0" w:rsidRPr="00BF2F4C">
        <w:rPr>
          <w:rFonts w:ascii="Arial" w:hAnsi="Arial" w:cs="Arial"/>
          <w:b/>
          <w:sz w:val="20"/>
          <w:szCs w:val="20"/>
        </w:rPr>
        <w:t xml:space="preserve">Criteria for </w:t>
      </w:r>
      <w:r w:rsidR="00C52154" w:rsidRPr="00BF2F4C">
        <w:rPr>
          <w:rFonts w:ascii="Arial" w:hAnsi="Arial" w:cs="Arial"/>
          <w:b/>
          <w:sz w:val="20"/>
          <w:szCs w:val="20"/>
        </w:rPr>
        <w:t>N</w:t>
      </w:r>
      <w:r w:rsidR="009C1AA0" w:rsidRPr="00BF2F4C">
        <w:rPr>
          <w:rFonts w:ascii="Arial" w:hAnsi="Arial" w:cs="Arial"/>
          <w:b/>
          <w:sz w:val="20"/>
          <w:szCs w:val="20"/>
        </w:rPr>
        <w:t xml:space="preserve">otifying the </w:t>
      </w:r>
      <w:r w:rsidR="00C52154" w:rsidRPr="00BF2F4C">
        <w:rPr>
          <w:rFonts w:ascii="Arial" w:hAnsi="Arial" w:cs="Arial"/>
          <w:b/>
          <w:sz w:val="20"/>
          <w:szCs w:val="20"/>
        </w:rPr>
        <w:t>M</w:t>
      </w:r>
      <w:r w:rsidR="009C1AA0" w:rsidRPr="00BF2F4C">
        <w:rPr>
          <w:rFonts w:ascii="Arial" w:hAnsi="Arial" w:cs="Arial"/>
          <w:b/>
          <w:sz w:val="20"/>
          <w:szCs w:val="20"/>
        </w:rPr>
        <w:t xml:space="preserve">edical </w:t>
      </w:r>
      <w:r w:rsidR="00C52154" w:rsidRPr="00BF2F4C">
        <w:rPr>
          <w:rFonts w:ascii="Arial" w:hAnsi="Arial" w:cs="Arial"/>
          <w:b/>
          <w:sz w:val="20"/>
          <w:szCs w:val="20"/>
        </w:rPr>
        <w:t>P</w:t>
      </w:r>
      <w:r w:rsidR="009C1AA0" w:rsidRPr="00BF2F4C">
        <w:rPr>
          <w:rFonts w:ascii="Arial" w:hAnsi="Arial" w:cs="Arial"/>
          <w:b/>
          <w:sz w:val="20"/>
          <w:szCs w:val="20"/>
        </w:rPr>
        <w:t>rovider</w:t>
      </w:r>
    </w:p>
    <w:p w:rsidR="00187FD3" w:rsidRDefault="00187FD3" w:rsidP="00DD271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 xml:space="preserve">Contact </w:t>
      </w:r>
      <w:r w:rsidR="000734FD">
        <w:rPr>
          <w:rFonts w:ascii="Arial" w:hAnsi="Arial" w:cs="Arial"/>
          <w:sz w:val="20"/>
          <w:szCs w:val="20"/>
        </w:rPr>
        <w:t xml:space="preserve">the </w:t>
      </w:r>
      <w:r w:rsidRPr="00580835">
        <w:rPr>
          <w:rFonts w:ascii="Arial" w:hAnsi="Arial" w:cs="Arial"/>
          <w:sz w:val="20"/>
          <w:szCs w:val="20"/>
        </w:rPr>
        <w:t>medical director</w:t>
      </w:r>
      <w:r w:rsidR="00CD1BE2">
        <w:rPr>
          <w:rFonts w:ascii="Arial" w:hAnsi="Arial" w:cs="Arial"/>
          <w:sz w:val="20"/>
          <w:szCs w:val="20"/>
        </w:rPr>
        <w:t xml:space="preserve"> or medical provider</w:t>
      </w:r>
      <w:r w:rsidRPr="00580835">
        <w:rPr>
          <w:rFonts w:ascii="Arial" w:hAnsi="Arial" w:cs="Arial"/>
          <w:sz w:val="20"/>
          <w:szCs w:val="20"/>
        </w:rPr>
        <w:t>,</w:t>
      </w:r>
      <w:r w:rsidR="00CD1BE2">
        <w:rPr>
          <w:rFonts w:ascii="Arial" w:hAnsi="Arial" w:cs="Arial"/>
          <w:sz w:val="20"/>
          <w:szCs w:val="20"/>
        </w:rPr>
        <w:t xml:space="preserve"> </w:t>
      </w:r>
      <w:r w:rsidRPr="00580835">
        <w:rPr>
          <w:rFonts w:ascii="Arial" w:hAnsi="Arial" w:cs="Arial"/>
          <w:sz w:val="20"/>
          <w:szCs w:val="20"/>
        </w:rPr>
        <w:t>if there is any question about whether to carry out any provision of the standing order.</w:t>
      </w:r>
    </w:p>
    <w:p w:rsidR="001C3439" w:rsidRDefault="000734FD" w:rsidP="00DD271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Consult with the </w:t>
      </w:r>
      <w:r w:rsidR="009C1AA0" w:rsidRPr="00580835">
        <w:rPr>
          <w:rFonts w:ascii="Arial" w:hAnsi="Arial" w:cs="Arial"/>
          <w:sz w:val="20"/>
          <w:szCs w:val="20"/>
        </w:rPr>
        <w:t>medical director</w:t>
      </w:r>
      <w:r w:rsidR="00CD1BE2">
        <w:rPr>
          <w:rFonts w:ascii="Arial" w:hAnsi="Arial" w:cs="Arial"/>
          <w:sz w:val="20"/>
          <w:szCs w:val="20"/>
        </w:rPr>
        <w:t xml:space="preserve"> or medical provider</w:t>
      </w:r>
      <w:r w:rsidR="009C1AA0" w:rsidRPr="00580835">
        <w:rPr>
          <w:rFonts w:ascii="Arial" w:hAnsi="Arial" w:cs="Arial"/>
          <w:sz w:val="20"/>
          <w:szCs w:val="20"/>
        </w:rPr>
        <w:t>, if</w:t>
      </w:r>
      <w:r w:rsidR="001C3439">
        <w:rPr>
          <w:rFonts w:ascii="Arial" w:hAnsi="Arial" w:cs="Arial"/>
          <w:sz w:val="20"/>
          <w:szCs w:val="20"/>
        </w:rPr>
        <w:t>:</w:t>
      </w:r>
    </w:p>
    <w:p w:rsidR="00821C72" w:rsidRDefault="009C0BD7" w:rsidP="00DD271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0734FD">
        <w:rPr>
          <w:rFonts w:ascii="Arial" w:hAnsi="Arial" w:cs="Arial"/>
          <w:sz w:val="20"/>
          <w:szCs w:val="20"/>
        </w:rPr>
        <w:t>esions are present</w:t>
      </w:r>
    </w:p>
    <w:p w:rsidR="00D85DD8" w:rsidRDefault="00D85DD8" w:rsidP="00DD271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complaints of </w:t>
      </w:r>
      <w:r w:rsidR="0044250D">
        <w:rPr>
          <w:rFonts w:ascii="Arial" w:hAnsi="Arial" w:cs="Arial"/>
          <w:sz w:val="20"/>
          <w:szCs w:val="20"/>
        </w:rPr>
        <w:t>ocular symptoms</w:t>
      </w:r>
    </w:p>
    <w:p w:rsidR="0051633F" w:rsidRPr="0051633F" w:rsidRDefault="009C0BD7" w:rsidP="000734F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1633F">
        <w:rPr>
          <w:rFonts w:ascii="Arial" w:hAnsi="Arial" w:cs="Arial"/>
          <w:sz w:val="20"/>
          <w:szCs w:val="20"/>
        </w:rPr>
        <w:t>est results do not confirm clinical findings</w:t>
      </w:r>
      <w:r w:rsidR="00D85DD8">
        <w:rPr>
          <w:rFonts w:ascii="Arial" w:hAnsi="Arial" w:cs="Arial"/>
          <w:sz w:val="20"/>
          <w:szCs w:val="20"/>
        </w:rPr>
        <w:t xml:space="preserve"> (i.e., </w:t>
      </w:r>
      <w:proofErr w:type="spellStart"/>
      <w:r w:rsidR="00D85DD8">
        <w:rPr>
          <w:rFonts w:ascii="Arial" w:hAnsi="Arial" w:cs="Arial"/>
          <w:sz w:val="20"/>
          <w:szCs w:val="20"/>
        </w:rPr>
        <w:t>prozone</w:t>
      </w:r>
      <w:proofErr w:type="spellEnd"/>
      <w:r w:rsidR="00D85DD8">
        <w:rPr>
          <w:rFonts w:ascii="Arial" w:hAnsi="Arial" w:cs="Arial"/>
          <w:sz w:val="20"/>
          <w:szCs w:val="20"/>
        </w:rPr>
        <w:t xml:space="preserve"> effect</w:t>
      </w:r>
      <w:r w:rsidR="00FD2F2C">
        <w:rPr>
          <w:rFonts w:ascii="Arial" w:hAnsi="Arial" w:cs="Arial"/>
          <w:sz w:val="20"/>
          <w:szCs w:val="20"/>
        </w:rPr>
        <w:t xml:space="preserve"> – false negative RPR</w:t>
      </w:r>
      <w:r w:rsidR="00D85DD8">
        <w:rPr>
          <w:rFonts w:ascii="Arial" w:hAnsi="Arial" w:cs="Arial"/>
          <w:sz w:val="20"/>
          <w:szCs w:val="20"/>
        </w:rPr>
        <w:t>)</w:t>
      </w:r>
    </w:p>
    <w:p w:rsidR="0051633F" w:rsidRPr="0051633F" w:rsidRDefault="009C0BD7" w:rsidP="000734F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1633F">
        <w:rPr>
          <w:rFonts w:ascii="Arial" w:hAnsi="Arial" w:cs="Arial"/>
          <w:sz w:val="20"/>
          <w:szCs w:val="20"/>
        </w:rPr>
        <w:t>uspect syphilis by history but STAT RPR is not available</w:t>
      </w:r>
    </w:p>
    <w:p w:rsidR="0051633F" w:rsidRPr="0051633F" w:rsidRDefault="00D85DD8" w:rsidP="000734F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D795C">
        <w:rPr>
          <w:rFonts w:ascii="Arial" w:hAnsi="Arial" w:cs="Arial"/>
          <w:sz w:val="20"/>
          <w:szCs w:val="20"/>
        </w:rPr>
        <w:t>ny</w:t>
      </w:r>
      <w:r w:rsidR="0051633F">
        <w:rPr>
          <w:rFonts w:ascii="Arial" w:hAnsi="Arial" w:cs="Arial"/>
          <w:sz w:val="20"/>
          <w:szCs w:val="20"/>
        </w:rPr>
        <w:t xml:space="preserve"> question regarding secondary syphilis symptoms</w:t>
      </w:r>
    </w:p>
    <w:p w:rsidR="00950A08" w:rsidRDefault="00950A08" w:rsidP="00254427">
      <w:pPr>
        <w:pStyle w:val="ListParagraph"/>
        <w:ind w:left="0" w:hanging="270"/>
        <w:rPr>
          <w:rFonts w:ascii="Arial" w:hAnsi="Arial" w:cs="Arial"/>
          <w:b/>
          <w:sz w:val="20"/>
          <w:szCs w:val="20"/>
        </w:rPr>
      </w:pPr>
    </w:p>
    <w:p w:rsidR="009711D8" w:rsidRPr="00254427" w:rsidRDefault="00254427" w:rsidP="001353CB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254427">
        <w:rPr>
          <w:rFonts w:ascii="Arial" w:hAnsi="Arial" w:cs="Arial"/>
          <w:b/>
          <w:sz w:val="20"/>
          <w:szCs w:val="20"/>
        </w:rPr>
        <w:t>Follow Up</w:t>
      </w:r>
    </w:p>
    <w:p w:rsidR="0044250D" w:rsidRDefault="00254427" w:rsidP="00DD271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Immediate treatment should occu</w:t>
      </w:r>
      <w:r w:rsidR="00E743AA">
        <w:rPr>
          <w:rFonts w:ascii="Arial" w:hAnsi="Arial" w:cs="Arial"/>
          <w:sz w:val="20"/>
          <w:szCs w:val="20"/>
        </w:rPr>
        <w:t xml:space="preserve">r </w:t>
      </w:r>
      <w:r w:rsidR="0051633F">
        <w:rPr>
          <w:rFonts w:ascii="Arial" w:hAnsi="Arial" w:cs="Arial"/>
          <w:sz w:val="20"/>
          <w:szCs w:val="20"/>
        </w:rPr>
        <w:t xml:space="preserve">when </w:t>
      </w:r>
      <w:r w:rsidR="0044250D">
        <w:rPr>
          <w:rFonts w:ascii="Arial" w:hAnsi="Arial" w:cs="Arial"/>
          <w:sz w:val="20"/>
          <w:szCs w:val="20"/>
        </w:rPr>
        <w:t>clinical findings are consistent with an early syphilis infection, without waiting for test results.</w:t>
      </w:r>
    </w:p>
    <w:p w:rsidR="00254427" w:rsidRDefault="00175055" w:rsidP="00DD271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Immediate treatment should occur when </w:t>
      </w:r>
      <w:r w:rsidR="009E2694">
        <w:rPr>
          <w:rFonts w:ascii="Arial" w:hAnsi="Arial" w:cs="Arial"/>
          <w:sz w:val="20"/>
          <w:szCs w:val="20"/>
        </w:rPr>
        <w:t>positive lab findings meet</w:t>
      </w:r>
      <w:r w:rsidR="00950A08">
        <w:rPr>
          <w:rFonts w:ascii="Arial" w:hAnsi="Arial" w:cs="Arial"/>
          <w:sz w:val="20"/>
          <w:szCs w:val="20"/>
        </w:rPr>
        <w:t xml:space="preserve"> treatment criteria</w:t>
      </w:r>
      <w:r>
        <w:rPr>
          <w:rFonts w:ascii="Arial" w:hAnsi="Arial" w:cs="Arial"/>
          <w:sz w:val="20"/>
          <w:szCs w:val="20"/>
        </w:rPr>
        <w:t xml:space="preserve"> in patients who present without clinical symptoms of syphilis</w:t>
      </w:r>
      <w:r w:rsidR="0051633F">
        <w:rPr>
          <w:rFonts w:ascii="Arial" w:hAnsi="Arial" w:cs="Arial"/>
          <w:sz w:val="20"/>
          <w:szCs w:val="20"/>
        </w:rPr>
        <w:t>.</w:t>
      </w:r>
    </w:p>
    <w:p w:rsidR="00ED795C" w:rsidRDefault="00A6702F" w:rsidP="00DD271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Medical director or medical provider </w:t>
      </w:r>
      <w:r w:rsidR="00F13C24">
        <w:rPr>
          <w:rFonts w:ascii="Arial" w:hAnsi="Arial" w:cs="Arial"/>
          <w:sz w:val="20"/>
          <w:szCs w:val="20"/>
        </w:rPr>
        <w:t xml:space="preserve">can </w:t>
      </w:r>
      <w:r>
        <w:rPr>
          <w:rFonts w:ascii="Arial" w:hAnsi="Arial" w:cs="Arial"/>
          <w:sz w:val="20"/>
          <w:szCs w:val="20"/>
        </w:rPr>
        <w:t>order empirical treatment.</w:t>
      </w:r>
    </w:p>
    <w:p w:rsidR="0051633F" w:rsidRDefault="0051633F" w:rsidP="00DD271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 newly diagnosed cases to regional or local DIS</w:t>
      </w:r>
      <w:r w:rsidR="00F13C24">
        <w:rPr>
          <w:rFonts w:ascii="Arial" w:hAnsi="Arial" w:cs="Arial"/>
          <w:sz w:val="20"/>
          <w:szCs w:val="20"/>
        </w:rPr>
        <w:t xml:space="preserve"> within 24 hours</w:t>
      </w:r>
    </w:p>
    <w:p w:rsidR="00254427" w:rsidRDefault="00254427" w:rsidP="009711D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Approved by: _____________ __________________     Date approved: ____________</w:t>
      </w: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Local Health Department Medical Director</w:t>
      </w:r>
    </w:p>
    <w:p w:rsidR="00FD0332" w:rsidRPr="00580835" w:rsidRDefault="00FD0332" w:rsidP="00FD5B5E">
      <w:pPr>
        <w:rPr>
          <w:rFonts w:ascii="Arial" w:hAnsi="Arial" w:cs="Arial"/>
          <w:sz w:val="20"/>
          <w:szCs w:val="20"/>
        </w:rPr>
      </w:pPr>
    </w:p>
    <w:p w:rsidR="00FD0332" w:rsidRPr="00580835" w:rsidRDefault="00C747DC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Reviewed by</w:t>
      </w:r>
      <w:r w:rsidR="00FD0332" w:rsidRPr="00580835">
        <w:rPr>
          <w:rFonts w:ascii="Arial" w:hAnsi="Arial" w:cs="Arial"/>
          <w:sz w:val="20"/>
          <w:szCs w:val="20"/>
        </w:rPr>
        <w:t>: _______________________________      Date reviewed</w:t>
      </w:r>
      <w:proofErr w:type="gramStart"/>
      <w:r w:rsidR="00FD0332" w:rsidRPr="00580835">
        <w:rPr>
          <w:rFonts w:ascii="Arial" w:hAnsi="Arial" w:cs="Arial"/>
          <w:sz w:val="20"/>
          <w:szCs w:val="20"/>
        </w:rPr>
        <w:t>:_</w:t>
      </w:r>
      <w:proofErr w:type="gramEnd"/>
      <w:r w:rsidR="00FD0332" w:rsidRPr="00580835">
        <w:rPr>
          <w:rFonts w:ascii="Arial" w:hAnsi="Arial" w:cs="Arial"/>
          <w:sz w:val="20"/>
          <w:szCs w:val="20"/>
        </w:rPr>
        <w:t xml:space="preserve">___________ </w:t>
      </w:r>
    </w:p>
    <w:p w:rsidR="00C747DC" w:rsidRPr="00580835" w:rsidRDefault="00C747DC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Director of Nursing</w:t>
      </w:r>
      <w:r w:rsidR="00FD0332" w:rsidRPr="00580835">
        <w:rPr>
          <w:rFonts w:ascii="Arial" w:hAnsi="Arial" w:cs="Arial"/>
          <w:sz w:val="20"/>
          <w:szCs w:val="20"/>
        </w:rPr>
        <w:t>/Nursing Supervisor</w:t>
      </w:r>
    </w:p>
    <w:p w:rsidR="00FD0332" w:rsidRPr="00580835" w:rsidRDefault="00FD0332" w:rsidP="00FD5B5E">
      <w:pPr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Effective Date: ______________</w:t>
      </w: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Expiration Date: _____________</w:t>
      </w:r>
    </w:p>
    <w:p w:rsidR="00941F0A" w:rsidRPr="00580835" w:rsidRDefault="00941F0A" w:rsidP="00FD5B5E">
      <w:pPr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Legal Authority:</w:t>
      </w:r>
      <w:r w:rsidRPr="00580835">
        <w:rPr>
          <w:rFonts w:ascii="Arial" w:hAnsi="Arial" w:cs="Arial"/>
          <w:sz w:val="20"/>
          <w:szCs w:val="20"/>
        </w:rPr>
        <w:t xml:space="preserve">  Nurse Practice Act</w:t>
      </w:r>
      <w:r w:rsidR="006A257B">
        <w:rPr>
          <w:rFonts w:ascii="Arial" w:hAnsi="Arial" w:cs="Arial"/>
          <w:sz w:val="20"/>
          <w:szCs w:val="20"/>
        </w:rPr>
        <w:t>,</w:t>
      </w:r>
      <w:r w:rsidRPr="00580835">
        <w:rPr>
          <w:rFonts w:ascii="Arial" w:hAnsi="Arial" w:cs="Arial"/>
          <w:sz w:val="20"/>
          <w:szCs w:val="20"/>
        </w:rPr>
        <w:t xml:space="preserve"> </w:t>
      </w:r>
      <w:r w:rsidR="00A15A14" w:rsidRPr="00A15A14">
        <w:rPr>
          <w:rFonts w:ascii="Arial" w:hAnsi="Arial" w:cs="Arial"/>
          <w:sz w:val="20"/>
          <w:szCs w:val="20"/>
        </w:rPr>
        <w:t xml:space="preserve">N.C. General Statutes </w:t>
      </w:r>
      <w:bookmarkStart w:id="0" w:name="_GoBack"/>
      <w:bookmarkEnd w:id="0"/>
      <w:r w:rsidR="009A3C1B">
        <w:rPr>
          <w:rFonts w:ascii="Arial" w:hAnsi="Arial" w:cs="Arial"/>
          <w:sz w:val="20"/>
          <w:szCs w:val="20"/>
        </w:rPr>
        <w:t>90-171.20(7)(a)(e)(f</w:t>
      </w:r>
      <w:r w:rsidRPr="00580835">
        <w:rPr>
          <w:rFonts w:ascii="Arial" w:hAnsi="Arial" w:cs="Arial"/>
          <w:sz w:val="20"/>
          <w:szCs w:val="20"/>
        </w:rPr>
        <w:t>)&amp;(8)(c)</w:t>
      </w:r>
    </w:p>
    <w:p w:rsidR="00E840D4" w:rsidRPr="00580835" w:rsidRDefault="00E840D4" w:rsidP="00FD5B5E">
      <w:pPr>
        <w:rPr>
          <w:rFonts w:ascii="Arial" w:hAnsi="Arial" w:cs="Arial"/>
          <w:sz w:val="20"/>
          <w:szCs w:val="20"/>
        </w:rPr>
      </w:pPr>
    </w:p>
    <w:sectPr w:rsidR="00E840D4" w:rsidRPr="00580835" w:rsidSect="008B66C0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A1" w:rsidRDefault="00673EA1" w:rsidP="00897A7B">
      <w:r>
        <w:separator/>
      </w:r>
    </w:p>
  </w:endnote>
  <w:endnote w:type="continuationSeparator" w:id="0">
    <w:p w:rsidR="00673EA1" w:rsidRDefault="00673EA1" w:rsidP="008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11" w:rsidRP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9E0811" w:rsidRPr="009E0811" w:rsidRDefault="00254427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="009E0811" w:rsidRPr="009E0811">
      <w:rPr>
        <w:rFonts w:ascii="Arial" w:hAnsi="Arial" w:cs="Arial"/>
        <w:sz w:val="16"/>
        <w:szCs w:val="16"/>
      </w:rPr>
      <w:t>Standing Order</w:t>
    </w:r>
    <w:r w:rsidR="00E26DFC">
      <w:rPr>
        <w:rFonts w:ascii="Arial" w:hAnsi="Arial" w:cs="Arial"/>
        <w:sz w:val="16"/>
        <w:szCs w:val="16"/>
      </w:rPr>
      <w:t xml:space="preserve"> for Syphilis Testing</w:t>
    </w:r>
  </w:p>
  <w:p w:rsidR="009E0811" w:rsidRPr="009E0811" w:rsidRDefault="00F13C24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306921">
      <w:rPr>
        <w:rFonts w:ascii="Arial" w:hAnsi="Arial" w:cs="Arial"/>
        <w:sz w:val="16"/>
        <w:szCs w:val="16"/>
      </w:rPr>
      <w:t>, 2015</w:t>
    </w:r>
  </w:p>
  <w:p w:rsidR="009E0811" w:rsidRP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9823EB">
      <w:rPr>
        <w:rFonts w:ascii="Arial" w:hAnsi="Arial" w:cs="Arial"/>
        <w:noProof/>
        <w:sz w:val="16"/>
        <w:szCs w:val="16"/>
      </w:rPr>
      <w:t>4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9823EB">
      <w:rPr>
        <w:rFonts w:ascii="Arial" w:hAnsi="Arial" w:cs="Arial"/>
        <w:noProof/>
        <w:sz w:val="16"/>
        <w:szCs w:val="16"/>
      </w:rPr>
      <w:t>4</w:t>
    </w:r>
    <w:r w:rsidRPr="009E0811">
      <w:rPr>
        <w:rFonts w:ascii="Arial" w:hAnsi="Arial" w:cs="Arial"/>
        <w:sz w:val="16"/>
        <w:szCs w:val="16"/>
      </w:rPr>
      <w:fldChar w:fldCharType="end"/>
    </w:r>
  </w:p>
  <w:p w:rsidR="00E32ECC" w:rsidRPr="009E0811" w:rsidRDefault="00E32ECC" w:rsidP="009E08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388" w:rsidRPr="009E0811" w:rsidRDefault="00F20388" w:rsidP="00F20388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F20388" w:rsidRPr="009E0811" w:rsidRDefault="00F20388" w:rsidP="00F20388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Syphilis Testing</w:t>
    </w:r>
  </w:p>
  <w:p w:rsidR="00F20388" w:rsidRPr="009E0811" w:rsidRDefault="00F13C24" w:rsidP="00F20388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F20388">
      <w:rPr>
        <w:rFonts w:ascii="Arial" w:hAnsi="Arial" w:cs="Arial"/>
        <w:sz w:val="16"/>
        <w:szCs w:val="16"/>
      </w:rPr>
      <w:t>, 2015</w:t>
    </w:r>
  </w:p>
  <w:p w:rsidR="00F20388" w:rsidRPr="008B66C0" w:rsidRDefault="00F20388" w:rsidP="000C4D17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9823EB">
      <w:rPr>
        <w:rFonts w:ascii="Arial" w:hAnsi="Arial" w:cs="Arial"/>
        <w:noProof/>
        <w:sz w:val="16"/>
        <w:szCs w:val="16"/>
      </w:rPr>
      <w:t>1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9823EB">
      <w:rPr>
        <w:rFonts w:ascii="Arial" w:hAnsi="Arial" w:cs="Arial"/>
        <w:noProof/>
        <w:sz w:val="16"/>
        <w:szCs w:val="16"/>
      </w:rPr>
      <w:t>4</w:t>
    </w:r>
    <w:r w:rsidRPr="009E081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A1" w:rsidRDefault="00673EA1" w:rsidP="00897A7B">
      <w:r>
        <w:separator/>
      </w:r>
    </w:p>
  </w:footnote>
  <w:footnote w:type="continuationSeparator" w:id="0">
    <w:p w:rsidR="00673EA1" w:rsidRDefault="00673EA1" w:rsidP="0089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388" w:rsidRPr="0003439B" w:rsidRDefault="00F20388" w:rsidP="00F20388">
    <w:pPr>
      <w:ind w:left="360" w:hanging="360"/>
      <w:jc w:val="right"/>
      <w:rPr>
        <w:rFonts w:ascii="Arial" w:hAnsi="Arial" w:cs="Arial"/>
        <w:b/>
      </w:rPr>
    </w:pPr>
    <w:r w:rsidRPr="0003439B">
      <w:rPr>
        <w:rFonts w:ascii="Arial" w:hAnsi="Arial" w:cs="Arial"/>
        <w:b/>
      </w:rPr>
      <w:t>Laboratory Test: Syphilis</w:t>
    </w:r>
  </w:p>
  <w:p w:rsidR="00F20388" w:rsidRDefault="00F20388" w:rsidP="008B66C0">
    <w:pPr>
      <w:ind w:left="360" w:hanging="360"/>
      <w:jc w:val="right"/>
    </w:pPr>
    <w:r w:rsidRPr="00D2785C">
      <w:rPr>
        <w:rFonts w:ascii="Arial" w:hAnsi="Arial" w:cs="Arial"/>
        <w:sz w:val="16"/>
        <w:szCs w:val="16"/>
      </w:rPr>
      <w:t xml:space="preserve">Standing Order in N.C. Board of Nursing Format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09"/>
    <w:multiLevelType w:val="hybridMultilevel"/>
    <w:tmpl w:val="2EC0D584"/>
    <w:lvl w:ilvl="0" w:tplc="C83C41C8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7FB1"/>
    <w:multiLevelType w:val="hybridMultilevel"/>
    <w:tmpl w:val="73A27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DE6534"/>
    <w:multiLevelType w:val="hybridMultilevel"/>
    <w:tmpl w:val="86840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AE170E"/>
    <w:multiLevelType w:val="hybridMultilevel"/>
    <w:tmpl w:val="4910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3478C"/>
    <w:multiLevelType w:val="hybridMultilevel"/>
    <w:tmpl w:val="34CE2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B07810"/>
    <w:multiLevelType w:val="hybridMultilevel"/>
    <w:tmpl w:val="0226D424"/>
    <w:lvl w:ilvl="0" w:tplc="E60ABC5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2B5D53"/>
    <w:multiLevelType w:val="hybridMultilevel"/>
    <w:tmpl w:val="0B565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581C7D"/>
    <w:multiLevelType w:val="hybridMultilevel"/>
    <w:tmpl w:val="29226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6674D5"/>
    <w:multiLevelType w:val="hybridMultilevel"/>
    <w:tmpl w:val="DE2E1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8C2531"/>
    <w:multiLevelType w:val="hybridMultilevel"/>
    <w:tmpl w:val="0520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F2EF1"/>
    <w:multiLevelType w:val="hybridMultilevel"/>
    <w:tmpl w:val="2FECC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900EB2"/>
    <w:multiLevelType w:val="hybridMultilevel"/>
    <w:tmpl w:val="10700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B74F30"/>
    <w:multiLevelType w:val="hybridMultilevel"/>
    <w:tmpl w:val="2E8AD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A27D8"/>
    <w:multiLevelType w:val="hybridMultilevel"/>
    <w:tmpl w:val="89142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CD6C0A"/>
    <w:multiLevelType w:val="hybridMultilevel"/>
    <w:tmpl w:val="6FBA9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0B1CA0"/>
    <w:multiLevelType w:val="hybridMultilevel"/>
    <w:tmpl w:val="CEE82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147629"/>
    <w:multiLevelType w:val="hybridMultilevel"/>
    <w:tmpl w:val="B5563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8F5158"/>
    <w:multiLevelType w:val="hybridMultilevel"/>
    <w:tmpl w:val="DB5AA4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37463F"/>
    <w:multiLevelType w:val="hybridMultilevel"/>
    <w:tmpl w:val="20165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7"/>
  </w:num>
  <w:num w:numId="5">
    <w:abstractNumId w:val="0"/>
  </w:num>
  <w:num w:numId="6">
    <w:abstractNumId w:val="3"/>
  </w:num>
  <w:num w:numId="7">
    <w:abstractNumId w:val="15"/>
  </w:num>
  <w:num w:numId="8">
    <w:abstractNumId w:val="6"/>
  </w:num>
  <w:num w:numId="9">
    <w:abstractNumId w:val="11"/>
  </w:num>
  <w:num w:numId="10">
    <w:abstractNumId w:val="10"/>
  </w:num>
  <w:num w:numId="11">
    <w:abstractNumId w:val="7"/>
  </w:num>
  <w:num w:numId="12">
    <w:abstractNumId w:val="4"/>
  </w:num>
  <w:num w:numId="13">
    <w:abstractNumId w:val="18"/>
  </w:num>
  <w:num w:numId="14">
    <w:abstractNumId w:val="12"/>
  </w:num>
  <w:num w:numId="15">
    <w:abstractNumId w:val="14"/>
  </w:num>
  <w:num w:numId="16">
    <w:abstractNumId w:val="8"/>
  </w:num>
  <w:num w:numId="17">
    <w:abstractNumId w:val="2"/>
  </w:num>
  <w:num w:numId="18">
    <w:abstractNumId w:val="1"/>
  </w:num>
  <w:num w:numId="1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7B"/>
    <w:rsid w:val="000149EF"/>
    <w:rsid w:val="00017BCB"/>
    <w:rsid w:val="00030340"/>
    <w:rsid w:val="0003100B"/>
    <w:rsid w:val="0003439B"/>
    <w:rsid w:val="00036662"/>
    <w:rsid w:val="000513FC"/>
    <w:rsid w:val="00062B2B"/>
    <w:rsid w:val="00067488"/>
    <w:rsid w:val="00070F59"/>
    <w:rsid w:val="000734FD"/>
    <w:rsid w:val="00075391"/>
    <w:rsid w:val="00090519"/>
    <w:rsid w:val="00095C0B"/>
    <w:rsid w:val="0009635F"/>
    <w:rsid w:val="000A626B"/>
    <w:rsid w:val="000A6C89"/>
    <w:rsid w:val="000B20AA"/>
    <w:rsid w:val="000C4D17"/>
    <w:rsid w:val="000E0211"/>
    <w:rsid w:val="000F575C"/>
    <w:rsid w:val="000F7905"/>
    <w:rsid w:val="001005E8"/>
    <w:rsid w:val="00105FEB"/>
    <w:rsid w:val="00116E86"/>
    <w:rsid w:val="001353CB"/>
    <w:rsid w:val="001400EE"/>
    <w:rsid w:val="00146F80"/>
    <w:rsid w:val="001520E2"/>
    <w:rsid w:val="001566BD"/>
    <w:rsid w:val="00160327"/>
    <w:rsid w:val="00163A83"/>
    <w:rsid w:val="00175055"/>
    <w:rsid w:val="00187FD3"/>
    <w:rsid w:val="00195496"/>
    <w:rsid w:val="001B5ACB"/>
    <w:rsid w:val="001B6387"/>
    <w:rsid w:val="001B683A"/>
    <w:rsid w:val="001C3439"/>
    <w:rsid w:val="001E0BA8"/>
    <w:rsid w:val="001E0DA7"/>
    <w:rsid w:val="00201475"/>
    <w:rsid w:val="002041CB"/>
    <w:rsid w:val="0021307B"/>
    <w:rsid w:val="00214268"/>
    <w:rsid w:val="00217BCB"/>
    <w:rsid w:val="00226079"/>
    <w:rsid w:val="00230805"/>
    <w:rsid w:val="00233107"/>
    <w:rsid w:val="00243981"/>
    <w:rsid w:val="002452B4"/>
    <w:rsid w:val="00245DD6"/>
    <w:rsid w:val="00252848"/>
    <w:rsid w:val="00254427"/>
    <w:rsid w:val="00266B5E"/>
    <w:rsid w:val="0027305E"/>
    <w:rsid w:val="0027445E"/>
    <w:rsid w:val="002A4662"/>
    <w:rsid w:val="002C3F64"/>
    <w:rsid w:val="002C55B2"/>
    <w:rsid w:val="002D0C59"/>
    <w:rsid w:val="002F0A10"/>
    <w:rsid w:val="002F2167"/>
    <w:rsid w:val="002F3A12"/>
    <w:rsid w:val="002F47E0"/>
    <w:rsid w:val="00302D9D"/>
    <w:rsid w:val="00306833"/>
    <w:rsid w:val="00306921"/>
    <w:rsid w:val="00311E90"/>
    <w:rsid w:val="00312134"/>
    <w:rsid w:val="00313C4B"/>
    <w:rsid w:val="003471B3"/>
    <w:rsid w:val="003505AC"/>
    <w:rsid w:val="0035280B"/>
    <w:rsid w:val="00357A36"/>
    <w:rsid w:val="00357B86"/>
    <w:rsid w:val="00366D03"/>
    <w:rsid w:val="0037365E"/>
    <w:rsid w:val="00380868"/>
    <w:rsid w:val="0038640C"/>
    <w:rsid w:val="0039221D"/>
    <w:rsid w:val="00396FC2"/>
    <w:rsid w:val="003B62E8"/>
    <w:rsid w:val="003C753C"/>
    <w:rsid w:val="003E2442"/>
    <w:rsid w:val="003E7785"/>
    <w:rsid w:val="003E7959"/>
    <w:rsid w:val="003F0034"/>
    <w:rsid w:val="00404684"/>
    <w:rsid w:val="00412A03"/>
    <w:rsid w:val="0042092D"/>
    <w:rsid w:val="00425BB3"/>
    <w:rsid w:val="00437220"/>
    <w:rsid w:val="0044250D"/>
    <w:rsid w:val="0044340E"/>
    <w:rsid w:val="00443DF0"/>
    <w:rsid w:val="00445A8F"/>
    <w:rsid w:val="00450635"/>
    <w:rsid w:val="00453567"/>
    <w:rsid w:val="00454854"/>
    <w:rsid w:val="0045570C"/>
    <w:rsid w:val="0046423E"/>
    <w:rsid w:val="00480D17"/>
    <w:rsid w:val="00494307"/>
    <w:rsid w:val="004960F0"/>
    <w:rsid w:val="004A6C4F"/>
    <w:rsid w:val="004C2DF9"/>
    <w:rsid w:val="004C6E20"/>
    <w:rsid w:val="004C7ABC"/>
    <w:rsid w:val="004D2FB8"/>
    <w:rsid w:val="004E0FDB"/>
    <w:rsid w:val="004E4837"/>
    <w:rsid w:val="004E4E04"/>
    <w:rsid w:val="004E6C5C"/>
    <w:rsid w:val="004F037A"/>
    <w:rsid w:val="00510708"/>
    <w:rsid w:val="00514F21"/>
    <w:rsid w:val="0051633F"/>
    <w:rsid w:val="00520E38"/>
    <w:rsid w:val="00530025"/>
    <w:rsid w:val="00530184"/>
    <w:rsid w:val="00544B3C"/>
    <w:rsid w:val="00547388"/>
    <w:rsid w:val="00553675"/>
    <w:rsid w:val="00565893"/>
    <w:rsid w:val="00571DC6"/>
    <w:rsid w:val="00580835"/>
    <w:rsid w:val="0058103F"/>
    <w:rsid w:val="00582F1F"/>
    <w:rsid w:val="0058585F"/>
    <w:rsid w:val="00586380"/>
    <w:rsid w:val="00593463"/>
    <w:rsid w:val="005A7751"/>
    <w:rsid w:val="005B1983"/>
    <w:rsid w:val="005B5EB0"/>
    <w:rsid w:val="005C0572"/>
    <w:rsid w:val="005D3F6E"/>
    <w:rsid w:val="005E6265"/>
    <w:rsid w:val="005F1B9E"/>
    <w:rsid w:val="00601102"/>
    <w:rsid w:val="00620F0E"/>
    <w:rsid w:val="00623FC4"/>
    <w:rsid w:val="0062489E"/>
    <w:rsid w:val="00630836"/>
    <w:rsid w:val="00631EFB"/>
    <w:rsid w:val="006602E4"/>
    <w:rsid w:val="006613DC"/>
    <w:rsid w:val="0066146E"/>
    <w:rsid w:val="00673EA1"/>
    <w:rsid w:val="00683945"/>
    <w:rsid w:val="00693934"/>
    <w:rsid w:val="006A257B"/>
    <w:rsid w:val="006B55C6"/>
    <w:rsid w:val="006B7C54"/>
    <w:rsid w:val="006C43EC"/>
    <w:rsid w:val="006C62AA"/>
    <w:rsid w:val="006D7A44"/>
    <w:rsid w:val="006E11D0"/>
    <w:rsid w:val="006E7E46"/>
    <w:rsid w:val="006F2734"/>
    <w:rsid w:val="006F547F"/>
    <w:rsid w:val="00702EA6"/>
    <w:rsid w:val="007044B6"/>
    <w:rsid w:val="007056BB"/>
    <w:rsid w:val="00705CF4"/>
    <w:rsid w:val="00714496"/>
    <w:rsid w:val="00735575"/>
    <w:rsid w:val="007501A7"/>
    <w:rsid w:val="00751628"/>
    <w:rsid w:val="00753793"/>
    <w:rsid w:val="007560C5"/>
    <w:rsid w:val="00765B61"/>
    <w:rsid w:val="00766881"/>
    <w:rsid w:val="007704C0"/>
    <w:rsid w:val="00775D98"/>
    <w:rsid w:val="00780A2B"/>
    <w:rsid w:val="007860A7"/>
    <w:rsid w:val="007B7348"/>
    <w:rsid w:val="007C0439"/>
    <w:rsid w:val="007C67FF"/>
    <w:rsid w:val="007D2A8C"/>
    <w:rsid w:val="007D2CC4"/>
    <w:rsid w:val="007F2F15"/>
    <w:rsid w:val="007F5526"/>
    <w:rsid w:val="008129F5"/>
    <w:rsid w:val="00814BB7"/>
    <w:rsid w:val="00815003"/>
    <w:rsid w:val="00821C72"/>
    <w:rsid w:val="00832ED6"/>
    <w:rsid w:val="00834AFE"/>
    <w:rsid w:val="00836638"/>
    <w:rsid w:val="00844691"/>
    <w:rsid w:val="008461F6"/>
    <w:rsid w:val="008477BF"/>
    <w:rsid w:val="00853A6C"/>
    <w:rsid w:val="00875C8C"/>
    <w:rsid w:val="0087734F"/>
    <w:rsid w:val="00890455"/>
    <w:rsid w:val="00893A24"/>
    <w:rsid w:val="00897A7B"/>
    <w:rsid w:val="008B4066"/>
    <w:rsid w:val="008B66C0"/>
    <w:rsid w:val="008C677C"/>
    <w:rsid w:val="008D188B"/>
    <w:rsid w:val="008D7315"/>
    <w:rsid w:val="008E59CE"/>
    <w:rsid w:val="008E6B72"/>
    <w:rsid w:val="00903253"/>
    <w:rsid w:val="00914009"/>
    <w:rsid w:val="00920443"/>
    <w:rsid w:val="00925F57"/>
    <w:rsid w:val="009346B3"/>
    <w:rsid w:val="0093725D"/>
    <w:rsid w:val="00941F0A"/>
    <w:rsid w:val="00950A08"/>
    <w:rsid w:val="00954676"/>
    <w:rsid w:val="00961685"/>
    <w:rsid w:val="009711D8"/>
    <w:rsid w:val="00973CC8"/>
    <w:rsid w:val="00977392"/>
    <w:rsid w:val="009823EB"/>
    <w:rsid w:val="009A1760"/>
    <w:rsid w:val="009A3C1B"/>
    <w:rsid w:val="009B03C7"/>
    <w:rsid w:val="009C0BD7"/>
    <w:rsid w:val="009C1AA0"/>
    <w:rsid w:val="009C647E"/>
    <w:rsid w:val="009C77D4"/>
    <w:rsid w:val="009D2993"/>
    <w:rsid w:val="009E0811"/>
    <w:rsid w:val="009E2694"/>
    <w:rsid w:val="009E3514"/>
    <w:rsid w:val="009E7C6E"/>
    <w:rsid w:val="009F069A"/>
    <w:rsid w:val="009F480C"/>
    <w:rsid w:val="00A06055"/>
    <w:rsid w:val="00A06A2F"/>
    <w:rsid w:val="00A11DAB"/>
    <w:rsid w:val="00A14E9C"/>
    <w:rsid w:val="00A15A14"/>
    <w:rsid w:val="00A15C3D"/>
    <w:rsid w:val="00A2012D"/>
    <w:rsid w:val="00A42259"/>
    <w:rsid w:val="00A51717"/>
    <w:rsid w:val="00A60802"/>
    <w:rsid w:val="00A62315"/>
    <w:rsid w:val="00A6449E"/>
    <w:rsid w:val="00A6702F"/>
    <w:rsid w:val="00A732E3"/>
    <w:rsid w:val="00A7638F"/>
    <w:rsid w:val="00A81758"/>
    <w:rsid w:val="00A827CD"/>
    <w:rsid w:val="00AA4B0B"/>
    <w:rsid w:val="00AB1AFB"/>
    <w:rsid w:val="00AB2DF5"/>
    <w:rsid w:val="00AB3051"/>
    <w:rsid w:val="00AC2896"/>
    <w:rsid w:val="00AC2DCC"/>
    <w:rsid w:val="00AE3A02"/>
    <w:rsid w:val="00AF29A6"/>
    <w:rsid w:val="00AF49AD"/>
    <w:rsid w:val="00B21A9B"/>
    <w:rsid w:val="00B25074"/>
    <w:rsid w:val="00B27D6D"/>
    <w:rsid w:val="00B338C8"/>
    <w:rsid w:val="00B50C42"/>
    <w:rsid w:val="00B54A23"/>
    <w:rsid w:val="00B65433"/>
    <w:rsid w:val="00B65C14"/>
    <w:rsid w:val="00B6698E"/>
    <w:rsid w:val="00B7308A"/>
    <w:rsid w:val="00B76294"/>
    <w:rsid w:val="00B93182"/>
    <w:rsid w:val="00BA0D0E"/>
    <w:rsid w:val="00BA2CE2"/>
    <w:rsid w:val="00BB3CD6"/>
    <w:rsid w:val="00BB5B39"/>
    <w:rsid w:val="00BC3269"/>
    <w:rsid w:val="00BD0983"/>
    <w:rsid w:val="00BD0B24"/>
    <w:rsid w:val="00BE09F5"/>
    <w:rsid w:val="00BE51CC"/>
    <w:rsid w:val="00BE5589"/>
    <w:rsid w:val="00BE7CA9"/>
    <w:rsid w:val="00BF172C"/>
    <w:rsid w:val="00BF2F4C"/>
    <w:rsid w:val="00BF37CB"/>
    <w:rsid w:val="00BF52F4"/>
    <w:rsid w:val="00BF7A7B"/>
    <w:rsid w:val="00C00BA8"/>
    <w:rsid w:val="00C05809"/>
    <w:rsid w:val="00C11E1E"/>
    <w:rsid w:val="00C1257D"/>
    <w:rsid w:val="00C1446C"/>
    <w:rsid w:val="00C20E6B"/>
    <w:rsid w:val="00C3795A"/>
    <w:rsid w:val="00C4682D"/>
    <w:rsid w:val="00C50FF0"/>
    <w:rsid w:val="00C52154"/>
    <w:rsid w:val="00C57008"/>
    <w:rsid w:val="00C747DC"/>
    <w:rsid w:val="00C82F38"/>
    <w:rsid w:val="00C853D8"/>
    <w:rsid w:val="00C85D7B"/>
    <w:rsid w:val="00C920A1"/>
    <w:rsid w:val="00C96F28"/>
    <w:rsid w:val="00CA2C1E"/>
    <w:rsid w:val="00CA47FD"/>
    <w:rsid w:val="00CB51A7"/>
    <w:rsid w:val="00CC42D7"/>
    <w:rsid w:val="00CD1BE2"/>
    <w:rsid w:val="00CD5405"/>
    <w:rsid w:val="00CD6822"/>
    <w:rsid w:val="00CF3AD6"/>
    <w:rsid w:val="00CF625E"/>
    <w:rsid w:val="00CF6563"/>
    <w:rsid w:val="00D100BB"/>
    <w:rsid w:val="00D22E6A"/>
    <w:rsid w:val="00D2785C"/>
    <w:rsid w:val="00D31A9E"/>
    <w:rsid w:val="00D32367"/>
    <w:rsid w:val="00D47170"/>
    <w:rsid w:val="00D64304"/>
    <w:rsid w:val="00D67CD6"/>
    <w:rsid w:val="00D85DD8"/>
    <w:rsid w:val="00D9309A"/>
    <w:rsid w:val="00DA24B0"/>
    <w:rsid w:val="00DA4B14"/>
    <w:rsid w:val="00DB5BDB"/>
    <w:rsid w:val="00DC1398"/>
    <w:rsid w:val="00DD2715"/>
    <w:rsid w:val="00DD43A4"/>
    <w:rsid w:val="00DD4444"/>
    <w:rsid w:val="00DD54C2"/>
    <w:rsid w:val="00DD7E11"/>
    <w:rsid w:val="00DF3114"/>
    <w:rsid w:val="00DF3F29"/>
    <w:rsid w:val="00DF498A"/>
    <w:rsid w:val="00E04841"/>
    <w:rsid w:val="00E1699E"/>
    <w:rsid w:val="00E17B7C"/>
    <w:rsid w:val="00E21261"/>
    <w:rsid w:val="00E254E5"/>
    <w:rsid w:val="00E25A1F"/>
    <w:rsid w:val="00E26645"/>
    <w:rsid w:val="00E26DFC"/>
    <w:rsid w:val="00E32ECC"/>
    <w:rsid w:val="00E433B7"/>
    <w:rsid w:val="00E43AE3"/>
    <w:rsid w:val="00E524DD"/>
    <w:rsid w:val="00E706D2"/>
    <w:rsid w:val="00E743AA"/>
    <w:rsid w:val="00E840D4"/>
    <w:rsid w:val="00E849F6"/>
    <w:rsid w:val="00E85CA0"/>
    <w:rsid w:val="00E86069"/>
    <w:rsid w:val="00E8658A"/>
    <w:rsid w:val="00E938DF"/>
    <w:rsid w:val="00EA5FA2"/>
    <w:rsid w:val="00EA6E08"/>
    <w:rsid w:val="00EC406C"/>
    <w:rsid w:val="00EC6681"/>
    <w:rsid w:val="00ED795C"/>
    <w:rsid w:val="00EE141E"/>
    <w:rsid w:val="00EF1AF0"/>
    <w:rsid w:val="00EF3166"/>
    <w:rsid w:val="00EF4CD3"/>
    <w:rsid w:val="00EF74C1"/>
    <w:rsid w:val="00F073A8"/>
    <w:rsid w:val="00F111B1"/>
    <w:rsid w:val="00F13391"/>
    <w:rsid w:val="00F13C24"/>
    <w:rsid w:val="00F15FE2"/>
    <w:rsid w:val="00F20388"/>
    <w:rsid w:val="00F4400E"/>
    <w:rsid w:val="00F531BD"/>
    <w:rsid w:val="00F56C00"/>
    <w:rsid w:val="00F5749C"/>
    <w:rsid w:val="00F57CAA"/>
    <w:rsid w:val="00F90E68"/>
    <w:rsid w:val="00FA03A9"/>
    <w:rsid w:val="00FB4386"/>
    <w:rsid w:val="00FB5DEE"/>
    <w:rsid w:val="00FB6A6A"/>
    <w:rsid w:val="00FC2B68"/>
    <w:rsid w:val="00FD0332"/>
    <w:rsid w:val="00FD2F2C"/>
    <w:rsid w:val="00FD5681"/>
    <w:rsid w:val="00FD5B5E"/>
    <w:rsid w:val="00FE1568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34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  <w:style w:type="character" w:customStyle="1" w:styleId="bkciteavail">
    <w:name w:val="bk_cite_avail"/>
    <w:basedOn w:val="DefaultParagraphFont"/>
    <w:rsid w:val="00B21A9B"/>
  </w:style>
  <w:style w:type="paragraph" w:styleId="NoSpacing">
    <w:name w:val="No Spacing"/>
    <w:uiPriority w:val="1"/>
    <w:qFormat/>
    <w:rsid w:val="00631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34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  <w:style w:type="character" w:customStyle="1" w:styleId="bkciteavail">
    <w:name w:val="bk_cite_avail"/>
    <w:basedOn w:val="DefaultParagraphFont"/>
    <w:rsid w:val="00B21A9B"/>
  </w:style>
  <w:style w:type="paragraph" w:styleId="NoSpacing">
    <w:name w:val="No Spacing"/>
    <w:uiPriority w:val="1"/>
    <w:qFormat/>
    <w:rsid w:val="00631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cp:lastPrinted>2015-10-15T10:55:00Z</cp:lastPrinted>
  <dcterms:created xsi:type="dcterms:W3CDTF">2015-10-12T16:23:00Z</dcterms:created>
  <dcterms:modified xsi:type="dcterms:W3CDTF">2015-10-15T10:55:00Z</dcterms:modified>
</cp:coreProperties>
</file>